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2945E2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2945E2" w:rsidRDefault="00B510C0" w:rsidP="00B510C0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945E2"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Grad2Teach – NCFE Level 4 </w:t>
            </w:r>
            <w:r w:rsidR="00AE48DB" w:rsidRPr="002945E2">
              <w:rPr>
                <w:rFonts w:ascii="Calibri" w:hAnsi="Calibri" w:cs="Calibri"/>
                <w:color w:val="FFFFFF"/>
                <w:sz w:val="24"/>
                <w:szCs w:val="24"/>
              </w:rPr>
              <w:t>Applied Teaching Practices</w:t>
            </w:r>
          </w:p>
          <w:p w14:paraId="490EFE0C" w14:textId="6160034D" w:rsidR="00C83546" w:rsidRPr="002945E2" w:rsidRDefault="00FB4E33" w:rsidP="00B510C0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945E2">
              <w:rPr>
                <w:rFonts w:ascii="Calibri" w:hAnsi="Calibri" w:cs="Calibri"/>
                <w:color w:val="FFFFFF"/>
                <w:sz w:val="24"/>
                <w:szCs w:val="24"/>
                <w:lang w:val="en-GB"/>
              </w:rPr>
              <w:t>Wk</w:t>
            </w:r>
            <w:r w:rsidR="002945E2" w:rsidRPr="002945E2">
              <w:rPr>
                <w:rFonts w:ascii="Calibri" w:hAnsi="Calibri" w:cs="Calibri"/>
                <w:color w:val="FFFFFF"/>
                <w:sz w:val="24"/>
                <w:szCs w:val="24"/>
                <w:lang w:val="en-GB"/>
              </w:rPr>
              <w:t>3</w:t>
            </w:r>
            <w:r w:rsidRPr="002945E2">
              <w:rPr>
                <w:rFonts w:ascii="Calibri" w:hAnsi="Calibri" w:cs="Calibri"/>
                <w:color w:val="FFFFFF"/>
                <w:sz w:val="24"/>
                <w:szCs w:val="24"/>
                <w:lang w:val="en-GB"/>
              </w:rPr>
              <w:t>/ILJ</w:t>
            </w:r>
            <w:r w:rsidR="002945E2" w:rsidRPr="002945E2">
              <w:rPr>
                <w:rFonts w:ascii="Calibri" w:hAnsi="Calibri" w:cs="Calibri"/>
                <w:color w:val="FFFFFF"/>
                <w:sz w:val="24"/>
                <w:szCs w:val="24"/>
                <w:lang w:val="en-GB"/>
              </w:rPr>
              <w:t>/AO3</w:t>
            </w:r>
            <w:r w:rsidRPr="002945E2">
              <w:rPr>
                <w:rFonts w:ascii="Calibri" w:hAnsi="Calibri" w:cs="Calibri"/>
                <w:color w:val="FFFFFF"/>
                <w:sz w:val="24"/>
                <w:szCs w:val="24"/>
                <w:lang w:val="en-GB"/>
              </w:rPr>
              <w:t xml:space="preserve">: </w:t>
            </w:r>
            <w:r w:rsidR="002945E2" w:rsidRPr="002945E2">
              <w:rPr>
                <w:rFonts w:ascii="Calibri" w:hAnsi="Calibri" w:cs="Calibri"/>
                <w:color w:val="FFFFFF"/>
                <w:sz w:val="24"/>
                <w:szCs w:val="24"/>
                <w:lang w:val="en-GB"/>
              </w:rPr>
              <w:t xml:space="preserve">Extra-Curricular Provision </w:t>
            </w:r>
            <w:r w:rsidR="002945E2">
              <w:rPr>
                <w:rFonts w:ascii="Calibri" w:hAnsi="Calibri" w:cs="Calibri"/>
                <w:color w:val="FFFFFF"/>
                <w:sz w:val="24"/>
                <w:szCs w:val="24"/>
                <w:lang w:val="en-GB"/>
              </w:rPr>
              <w:t>–</w:t>
            </w:r>
            <w:r w:rsidR="002945E2" w:rsidRPr="002945E2">
              <w:rPr>
                <w:rFonts w:ascii="Calibri" w:hAnsi="Calibri" w:cs="Calibri"/>
                <w:color w:val="FFFFFF"/>
                <w:sz w:val="24"/>
                <w:szCs w:val="24"/>
                <w:lang w:val="en-GB"/>
              </w:rPr>
              <w:t xml:space="preserve"> Key</w:t>
            </w:r>
            <w:r w:rsidR="002945E2">
              <w:rPr>
                <w:rFonts w:ascii="Calibri" w:hAnsi="Calibri" w:cs="Calibri"/>
                <w:color w:val="FFFFFF"/>
                <w:sz w:val="24"/>
                <w:szCs w:val="24"/>
                <w:lang w:val="en-GB"/>
              </w:rPr>
              <w:t xml:space="preserve"> Features and Importance</w:t>
            </w:r>
          </w:p>
        </w:tc>
      </w:tr>
    </w:tbl>
    <w:p w14:paraId="78E9FCB5" w14:textId="77777777" w:rsidR="00471CB8" w:rsidRPr="002945E2" w:rsidRDefault="00471CB8">
      <w:pPr>
        <w:rPr>
          <w:rFonts w:ascii="Calibri" w:hAnsi="Calibri" w:cs="Calibr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471CB8" w:rsidRPr="002945E2" w14:paraId="2B51C10C" w14:textId="77777777">
        <w:tc>
          <w:tcPr>
            <w:tcW w:w="2160" w:type="dxa"/>
          </w:tcPr>
          <w:p w14:paraId="4390A104" w14:textId="77777777" w:rsidR="00471CB8" w:rsidRPr="002945E2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2945E2">
              <w:rPr>
                <w:rFonts w:ascii="Calibri" w:hAnsi="Calibri" w:cs="Calibri"/>
                <w:sz w:val="24"/>
                <w:szCs w:val="24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2945E2" w:rsidRDefault="00471C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04ED12" w14:textId="77777777" w:rsidR="00471CB8" w:rsidRPr="002945E2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2945E2">
              <w:rPr>
                <w:rFonts w:ascii="Calibri" w:hAnsi="Calibri" w:cs="Calibri"/>
                <w:sz w:val="24"/>
                <w:szCs w:val="24"/>
              </w:rPr>
              <w:t>Week Number:</w:t>
            </w:r>
          </w:p>
        </w:tc>
        <w:tc>
          <w:tcPr>
            <w:tcW w:w="2160" w:type="dxa"/>
          </w:tcPr>
          <w:p w14:paraId="7207ABAB" w14:textId="01DA5DE3" w:rsidR="00471CB8" w:rsidRPr="002945E2" w:rsidRDefault="002945E2">
            <w:pPr>
              <w:rPr>
                <w:rFonts w:ascii="Calibri" w:hAnsi="Calibri" w:cs="Calibri"/>
                <w:sz w:val="24"/>
                <w:szCs w:val="24"/>
              </w:rPr>
            </w:pPr>
            <w:r w:rsidRPr="002945E2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471CB8" w:rsidRPr="002945E2" w14:paraId="08F66E16" w14:textId="77777777">
        <w:tc>
          <w:tcPr>
            <w:tcW w:w="2160" w:type="dxa"/>
          </w:tcPr>
          <w:p w14:paraId="7A67C1FF" w14:textId="77777777" w:rsidR="00471CB8" w:rsidRPr="002945E2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2945E2"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2945E2" w:rsidRDefault="00471CB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0FD8D1" w14:textId="77777777" w:rsidR="00471CB8" w:rsidRPr="002945E2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2945E2">
              <w:rPr>
                <w:rFonts w:ascii="Calibri" w:hAnsi="Calibri" w:cs="Calibri"/>
                <w:sz w:val="24"/>
                <w:szCs w:val="24"/>
              </w:rPr>
              <w:t>Focus Topic:</w:t>
            </w:r>
          </w:p>
        </w:tc>
        <w:tc>
          <w:tcPr>
            <w:tcW w:w="2160" w:type="dxa"/>
          </w:tcPr>
          <w:p w14:paraId="5CFDA02B" w14:textId="474635C7" w:rsidR="00471CB8" w:rsidRPr="002945E2" w:rsidRDefault="002945E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945E2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W3/A</w:t>
            </w:r>
            <w:r w:rsidR="00A73337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O</w:t>
            </w:r>
            <w:r w:rsidRPr="002945E2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3: Extra-curricular Provision</w:t>
            </w:r>
          </w:p>
        </w:tc>
      </w:tr>
    </w:tbl>
    <w:p w14:paraId="2078C02F" w14:textId="5A6524CD" w:rsidR="006C101C" w:rsidRPr="002945E2" w:rsidRDefault="006C101C">
      <w:pPr>
        <w:rPr>
          <w:rFonts w:ascii="Calibri" w:hAnsi="Calibri" w:cs="Calibri"/>
          <w:sz w:val="24"/>
          <w:szCs w:val="24"/>
          <w:lang w:val="en-GB"/>
        </w:rPr>
      </w:pPr>
    </w:p>
    <w:p w14:paraId="04A747FA" w14:textId="1724655E" w:rsidR="00FB4E33" w:rsidRPr="002945E2" w:rsidRDefault="00FB4E33">
      <w:pPr>
        <w:rPr>
          <w:rFonts w:ascii="Calibri" w:hAnsi="Calibri" w:cs="Calibri"/>
          <w:sz w:val="24"/>
          <w:szCs w:val="24"/>
        </w:rPr>
      </w:pPr>
      <w:r w:rsidRPr="002945E2">
        <w:rPr>
          <w:rFonts w:ascii="Calibri" w:hAnsi="Calibri" w:cs="Calibri"/>
          <w:sz w:val="24"/>
          <w:szCs w:val="24"/>
        </w:rPr>
        <w:t xml:space="preserve">You are required to complete </w:t>
      </w:r>
      <w:r w:rsidRPr="002945E2">
        <w:rPr>
          <w:rFonts w:ascii="Calibri" w:hAnsi="Calibri" w:cs="Calibri"/>
          <w:b/>
          <w:bCs/>
          <w:sz w:val="24"/>
          <w:szCs w:val="24"/>
        </w:rPr>
        <w:t>two short entries</w:t>
      </w:r>
      <w:r w:rsidRPr="002945E2">
        <w:rPr>
          <w:rFonts w:ascii="Calibri" w:hAnsi="Calibri" w:cs="Calibri"/>
          <w:sz w:val="24"/>
          <w:szCs w:val="24"/>
        </w:rPr>
        <w:t xml:space="preserve"> </w:t>
      </w:r>
      <w:r w:rsidR="006374E5" w:rsidRPr="002945E2">
        <w:rPr>
          <w:rFonts w:ascii="Calibri" w:hAnsi="Calibri" w:cs="Calibri"/>
          <w:sz w:val="24"/>
          <w:szCs w:val="24"/>
        </w:rPr>
        <w:t xml:space="preserve">in the style of a learning journal on the topic of </w:t>
      </w:r>
      <w:r w:rsidRPr="002945E2">
        <w:rPr>
          <w:rFonts w:ascii="Calibri" w:hAnsi="Calibri" w:cs="Calibri"/>
          <w:b/>
          <w:bCs/>
          <w:sz w:val="24"/>
          <w:szCs w:val="24"/>
        </w:rPr>
        <w:t>coaching and mentoring</w:t>
      </w:r>
      <w:r w:rsidR="006374E5" w:rsidRPr="002945E2">
        <w:rPr>
          <w:rFonts w:ascii="Calibri" w:hAnsi="Calibri" w:cs="Calibri"/>
          <w:sz w:val="24"/>
          <w:szCs w:val="24"/>
        </w:rPr>
        <w:t>. The first should focus on how they are different but</w:t>
      </w:r>
      <w:r w:rsidRPr="002945E2">
        <w:rPr>
          <w:rFonts w:ascii="Calibri" w:hAnsi="Calibri" w:cs="Calibri"/>
          <w:sz w:val="24"/>
          <w:szCs w:val="24"/>
        </w:rPr>
        <w:t xml:space="preserve"> how both contribute to building effective professional relationships in schools.</w:t>
      </w:r>
      <w:r w:rsidRPr="002945E2">
        <w:rPr>
          <w:rFonts w:ascii="Calibri" w:hAnsi="Calibri" w:cs="Calibri"/>
          <w:sz w:val="24"/>
          <w:szCs w:val="24"/>
        </w:rPr>
        <w:br/>
      </w:r>
      <w:r w:rsidRPr="002945E2">
        <w:rPr>
          <w:rFonts w:ascii="Calibri" w:hAnsi="Calibri" w:cs="Calibri"/>
          <w:sz w:val="24"/>
          <w:szCs w:val="24"/>
        </w:rPr>
        <w:br/>
      </w:r>
      <w:r w:rsidRPr="002945E2">
        <w:rPr>
          <w:rFonts w:ascii="Calibri" w:hAnsi="Calibri" w:cs="Calibri"/>
          <w:b/>
          <w:bCs/>
          <w:sz w:val="24"/>
          <w:szCs w:val="24"/>
        </w:rPr>
        <w:t>Top Tips for Using This Journal:</w:t>
      </w:r>
      <w:r w:rsidRPr="002945E2">
        <w:rPr>
          <w:rFonts w:ascii="Calibri" w:hAnsi="Calibri" w:cs="Calibri"/>
          <w:sz w:val="24"/>
          <w:szCs w:val="24"/>
        </w:rPr>
        <w:br/>
        <w:t xml:space="preserve">1. Keep within the suggested word count (approx. </w:t>
      </w:r>
      <w:r w:rsidR="00640EF4">
        <w:rPr>
          <w:rFonts w:ascii="Calibri" w:hAnsi="Calibri" w:cs="Calibri"/>
          <w:sz w:val="24"/>
          <w:szCs w:val="24"/>
        </w:rPr>
        <w:t>8</w:t>
      </w:r>
      <w:r w:rsidR="00CF2F1A">
        <w:rPr>
          <w:rFonts w:ascii="Calibri" w:hAnsi="Calibri" w:cs="Calibri"/>
          <w:sz w:val="24"/>
          <w:szCs w:val="24"/>
        </w:rPr>
        <w:t>50-1</w:t>
      </w:r>
      <w:r w:rsidR="00640EF4">
        <w:rPr>
          <w:rFonts w:ascii="Calibri" w:hAnsi="Calibri" w:cs="Calibri"/>
          <w:sz w:val="24"/>
          <w:szCs w:val="24"/>
        </w:rPr>
        <w:t>250</w:t>
      </w:r>
      <w:r w:rsidRPr="002945E2">
        <w:rPr>
          <w:rFonts w:ascii="Calibri" w:hAnsi="Calibri" w:cs="Calibri"/>
          <w:sz w:val="24"/>
          <w:szCs w:val="24"/>
        </w:rPr>
        <w:t xml:space="preserve"> words</w:t>
      </w:r>
      <w:r w:rsidR="00400E14" w:rsidRPr="002945E2">
        <w:rPr>
          <w:rFonts w:ascii="Calibri" w:hAnsi="Calibri" w:cs="Calibri"/>
          <w:sz w:val="24"/>
          <w:szCs w:val="24"/>
        </w:rPr>
        <w:t>)</w:t>
      </w:r>
      <w:r w:rsidRPr="002945E2">
        <w:rPr>
          <w:rFonts w:ascii="Calibri" w:hAnsi="Calibri" w:cs="Calibri"/>
          <w:sz w:val="24"/>
          <w:szCs w:val="24"/>
        </w:rPr>
        <w:t>.</w:t>
      </w:r>
      <w:r w:rsidRPr="002945E2">
        <w:rPr>
          <w:rFonts w:ascii="Calibri" w:hAnsi="Calibri" w:cs="Calibri"/>
          <w:sz w:val="24"/>
          <w:szCs w:val="24"/>
        </w:rPr>
        <w:br/>
        <w:t>2. Write in clear, short sentences.</w:t>
      </w:r>
      <w:r w:rsidRPr="002945E2">
        <w:rPr>
          <w:rFonts w:ascii="Calibri" w:hAnsi="Calibri" w:cs="Calibri"/>
          <w:sz w:val="24"/>
          <w:szCs w:val="24"/>
        </w:rPr>
        <w:br/>
        <w:t>3. Use focused paragraphs with a clear topic sentence.</w:t>
      </w:r>
      <w:r w:rsidRPr="002945E2">
        <w:rPr>
          <w:rFonts w:ascii="Calibri" w:hAnsi="Calibri" w:cs="Calibri"/>
          <w:sz w:val="24"/>
          <w:szCs w:val="24"/>
        </w:rPr>
        <w:br/>
        <w:t>4. Avoid jargon unless you explain it.</w:t>
      </w:r>
      <w:r w:rsidRPr="002945E2">
        <w:rPr>
          <w:rFonts w:ascii="Calibri" w:hAnsi="Calibri" w:cs="Calibri"/>
          <w:sz w:val="24"/>
          <w:szCs w:val="24"/>
        </w:rPr>
        <w:br/>
        <w:t>5. Keep all examples professional and confidential (no pupil or staff surnames).</w:t>
      </w:r>
      <w:r w:rsidRPr="002945E2">
        <w:rPr>
          <w:rFonts w:ascii="Calibri" w:hAnsi="Calibri" w:cs="Calibri"/>
          <w:sz w:val="24"/>
          <w:szCs w:val="24"/>
        </w:rPr>
        <w:br/>
        <w:t>6. Declare any use of ChatGPT/AI if it has supported your work (AI Use Declaration Form required).</w:t>
      </w:r>
    </w:p>
    <w:p w14:paraId="6EAEBC70" w14:textId="2CA4C84A" w:rsidR="002945E2" w:rsidRPr="002945E2" w:rsidRDefault="002945E2" w:rsidP="002945E2">
      <w:pPr>
        <w:rPr>
          <w:rFonts w:ascii="Calibri" w:hAnsi="Calibri" w:cs="Calibri"/>
          <w:b/>
          <w:bCs/>
          <w:color w:val="C0000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C00000"/>
          <w:sz w:val="24"/>
          <w:szCs w:val="24"/>
          <w:lang w:val="en-GB"/>
        </w:rPr>
        <w:t>Key Assessment Objective</w:t>
      </w:r>
      <w:r w:rsidRPr="002945E2">
        <w:rPr>
          <w:rFonts w:ascii="Calibri" w:hAnsi="Calibri" w:cs="Calibri"/>
          <w:b/>
          <w:bCs/>
          <w:color w:val="C00000"/>
          <w:sz w:val="24"/>
          <w:szCs w:val="24"/>
          <w:lang w:val="en-GB"/>
        </w:rPr>
        <w:t>s</w:t>
      </w:r>
    </w:p>
    <w:p w14:paraId="40801890" w14:textId="6D80E301" w:rsidR="002945E2" w:rsidRPr="002945E2" w:rsidRDefault="002945E2" w:rsidP="002945E2">
      <w:pPr>
        <w:rPr>
          <w:rFonts w:ascii="Calibri" w:hAnsi="Calibri" w:cs="Calibri"/>
          <w:i/>
          <w:iCs/>
          <w:color w:val="C00000"/>
          <w:sz w:val="24"/>
          <w:szCs w:val="24"/>
          <w:lang w:val="en-GB"/>
        </w:rPr>
      </w:pPr>
      <w:r w:rsidRPr="002945E2">
        <w:rPr>
          <w:rFonts w:ascii="Calibri" w:hAnsi="Calibri" w:cs="Calibri"/>
          <w:i/>
          <w:iCs/>
          <w:color w:val="C00000"/>
          <w:sz w:val="24"/>
          <w:szCs w:val="24"/>
          <w:lang w:val="en-GB"/>
        </w:rPr>
        <w:t>(</w:t>
      </w:r>
      <w:r w:rsidRPr="002945E2">
        <w:rPr>
          <w:rFonts w:ascii="Calibri" w:hAnsi="Calibri" w:cs="Calibri"/>
          <w:i/>
          <w:iCs/>
          <w:color w:val="C00000"/>
          <w:sz w:val="24"/>
          <w:szCs w:val="24"/>
          <w:lang w:val="en-GB"/>
        </w:rPr>
        <w:t>Theme 3: Wider Opportunities, Enrichment and Pupil Development</w:t>
      </w:r>
      <w:r w:rsidRPr="002945E2">
        <w:rPr>
          <w:rFonts w:ascii="Calibri" w:hAnsi="Calibri" w:cs="Calibri"/>
          <w:i/>
          <w:iCs/>
          <w:color w:val="C00000"/>
          <w:sz w:val="24"/>
          <w:szCs w:val="24"/>
          <w:lang w:val="en-GB"/>
        </w:rPr>
        <w:t>)</w:t>
      </w:r>
    </w:p>
    <w:p w14:paraId="0D3B1A2B" w14:textId="772A803A" w:rsidR="002945E2" w:rsidRPr="002945E2" w:rsidRDefault="002945E2" w:rsidP="002945E2">
      <w:pPr>
        <w:rPr>
          <w:rFonts w:ascii="Calibri" w:hAnsi="Calibri" w:cs="Calibri"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 xml:space="preserve">AO3: </w:t>
      </w: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3.1</w:t>
      </w:r>
      <w:r w:rsidRPr="002945E2">
        <w:rPr>
          <w:rFonts w:ascii="Calibri" w:hAnsi="Calibri" w:cs="Calibri"/>
          <w:color w:val="7F7F7F" w:themeColor="text1" w:themeTint="80"/>
          <w:sz w:val="24"/>
          <w:szCs w:val="24"/>
          <w:lang w:val="en-GB"/>
        </w:rPr>
        <w:t xml:space="preserve"> Examine the key features of the placement school’s extra-curricular provision</w:t>
      </w:r>
    </w:p>
    <w:p w14:paraId="2F678C89" w14:textId="31051FE1" w:rsidR="002945E2" w:rsidRPr="002945E2" w:rsidRDefault="002945E2" w:rsidP="002945E2">
      <w:pPr>
        <w:rPr>
          <w:rFonts w:ascii="Calibri" w:hAnsi="Calibri" w:cs="Calibri"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 xml:space="preserve">AO3: </w:t>
      </w: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3.2</w:t>
      </w:r>
      <w:r w:rsidRPr="002945E2">
        <w:rPr>
          <w:rFonts w:ascii="Calibri" w:hAnsi="Calibri" w:cs="Calibri"/>
          <w:color w:val="7F7F7F" w:themeColor="text1" w:themeTint="80"/>
          <w:sz w:val="24"/>
          <w:szCs w:val="24"/>
          <w:lang w:val="en-GB"/>
        </w:rPr>
        <w:t xml:space="preserve"> Analyse the importance of the placement school having a range of extra-curricular activities</w:t>
      </w:r>
    </w:p>
    <w:p w14:paraId="32871DFD" w14:textId="77777777" w:rsidR="002945E2" w:rsidRPr="002945E2" w:rsidRDefault="002945E2" w:rsidP="002945E2">
      <w:pPr>
        <w:rPr>
          <w:rFonts w:ascii="Calibri" w:hAnsi="Calibri" w:cs="Calibri"/>
          <w:b/>
          <w:bCs/>
          <w:color w:val="C0000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C00000"/>
          <w:sz w:val="24"/>
          <w:szCs w:val="24"/>
          <w:lang w:val="en-GB"/>
        </w:rPr>
        <w:pict w14:anchorId="566439C3">
          <v:rect id="_x0000_i1043" style="width:0;height:1.5pt" o:hralign="center" o:hrstd="t" o:hr="t" fillcolor="#a0a0a0" stroked="f"/>
        </w:pict>
      </w:r>
    </w:p>
    <w:p w14:paraId="049651EC" w14:textId="77777777" w:rsidR="002945E2" w:rsidRPr="002945E2" w:rsidRDefault="002945E2" w:rsidP="002945E2">
      <w:pPr>
        <w:rPr>
          <w:rFonts w:ascii="Calibri" w:hAnsi="Calibri" w:cs="Calibri"/>
          <w:b/>
          <w:bCs/>
          <w:color w:val="548DD4" w:themeColor="text2" w:themeTint="99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548DD4" w:themeColor="text2" w:themeTint="99"/>
          <w:sz w:val="24"/>
          <w:szCs w:val="24"/>
          <w:lang w:val="en-GB"/>
        </w:rPr>
        <w:t>Recommended Structure</w:t>
      </w:r>
    </w:p>
    <w:p w14:paraId="15D18A80" w14:textId="77777777" w:rsidR="002945E2" w:rsidRPr="002945E2" w:rsidRDefault="002945E2" w:rsidP="002945E2">
      <w:pPr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lastRenderedPageBreak/>
        <w:t>Entry 1: Key Features of Extra-Curricular Provision</w:t>
      </w:r>
    </w:p>
    <w:p w14:paraId="22BB1A15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Focus on Criterion 3.1</w:t>
      </w:r>
    </w:p>
    <w:p w14:paraId="7EE45956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You should:</w:t>
      </w:r>
    </w:p>
    <w:p w14:paraId="194443E9" w14:textId="77777777" w:rsidR="002945E2" w:rsidRPr="002945E2" w:rsidRDefault="002945E2" w:rsidP="002945E2">
      <w:pPr>
        <w:numPr>
          <w:ilvl w:val="0"/>
          <w:numId w:val="18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 xml:space="preserve">Explain what is meant by </w:t>
      </w:r>
      <w:r w:rsidRPr="002945E2">
        <w:rPr>
          <w:rFonts w:ascii="Calibri" w:hAnsi="Calibri" w:cs="Calibri"/>
          <w:b/>
          <w:bCs/>
          <w:i/>
          <w:iCs/>
          <w:color w:val="7F7F7F" w:themeColor="text1" w:themeTint="80"/>
          <w:sz w:val="24"/>
          <w:szCs w:val="24"/>
          <w:lang w:val="en-GB"/>
        </w:rPr>
        <w:t>extra-curricular provision</w:t>
      </w: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 xml:space="preserve"> in a school context.</w:t>
      </w:r>
    </w:p>
    <w:p w14:paraId="6AEE0B4C" w14:textId="77777777" w:rsidR="002945E2" w:rsidRPr="002945E2" w:rsidRDefault="002945E2" w:rsidP="002945E2">
      <w:pPr>
        <w:numPr>
          <w:ilvl w:val="0"/>
          <w:numId w:val="18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Examine the types of activities offered by your placement school.</w:t>
      </w:r>
    </w:p>
    <w:p w14:paraId="493451A7" w14:textId="77777777" w:rsidR="002945E2" w:rsidRPr="002945E2" w:rsidRDefault="002945E2" w:rsidP="002945E2">
      <w:pPr>
        <w:numPr>
          <w:ilvl w:val="1"/>
          <w:numId w:val="18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For example: sports clubs, music, drama, academic clubs, enrichment days, pastoral or wellbeing activities.</w:t>
      </w:r>
    </w:p>
    <w:p w14:paraId="772D54FF" w14:textId="77777777" w:rsidR="002945E2" w:rsidRPr="002945E2" w:rsidRDefault="002945E2" w:rsidP="002945E2">
      <w:pPr>
        <w:numPr>
          <w:ilvl w:val="0"/>
          <w:numId w:val="18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Identify when and how these activities take place.</w:t>
      </w:r>
    </w:p>
    <w:p w14:paraId="2122B8F8" w14:textId="77777777" w:rsidR="002945E2" w:rsidRPr="002945E2" w:rsidRDefault="002945E2" w:rsidP="002945E2">
      <w:pPr>
        <w:numPr>
          <w:ilvl w:val="1"/>
          <w:numId w:val="18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Before school, after school, lunchtimes, trips, or special events.</w:t>
      </w:r>
    </w:p>
    <w:p w14:paraId="4C1EBF29" w14:textId="77777777" w:rsidR="002945E2" w:rsidRPr="002945E2" w:rsidRDefault="002945E2" w:rsidP="002945E2">
      <w:pPr>
        <w:numPr>
          <w:ilvl w:val="0"/>
          <w:numId w:val="18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Consider who leads and supports these activities.</w:t>
      </w:r>
    </w:p>
    <w:p w14:paraId="52986328" w14:textId="77777777" w:rsidR="002945E2" w:rsidRPr="002945E2" w:rsidRDefault="002945E2" w:rsidP="002945E2">
      <w:pPr>
        <w:numPr>
          <w:ilvl w:val="1"/>
          <w:numId w:val="18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Teaching staff, support staff, external providers, or community links.</w:t>
      </w:r>
    </w:p>
    <w:p w14:paraId="3B20D883" w14:textId="77777777" w:rsidR="002945E2" w:rsidRPr="002945E2" w:rsidRDefault="002945E2" w:rsidP="002945E2">
      <w:pPr>
        <w:numPr>
          <w:ilvl w:val="0"/>
          <w:numId w:val="18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Examine how accessible the provision is for pupils.</w:t>
      </w:r>
    </w:p>
    <w:p w14:paraId="761EF167" w14:textId="77777777" w:rsidR="002945E2" w:rsidRPr="002945E2" w:rsidRDefault="002945E2" w:rsidP="002945E2">
      <w:pPr>
        <w:numPr>
          <w:ilvl w:val="1"/>
          <w:numId w:val="18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Inclusion, cost, transport, encouragement, or targeted support.</w:t>
      </w:r>
    </w:p>
    <w:p w14:paraId="1C1FF821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You may include:</w:t>
      </w:r>
    </w:p>
    <w:p w14:paraId="117EB945" w14:textId="77777777" w:rsidR="002945E2" w:rsidRPr="002945E2" w:rsidRDefault="002945E2" w:rsidP="002945E2">
      <w:pPr>
        <w:numPr>
          <w:ilvl w:val="0"/>
          <w:numId w:val="19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Examples of clubs or activities you have observed or supported.</w:t>
      </w:r>
    </w:p>
    <w:p w14:paraId="45965725" w14:textId="77777777" w:rsidR="002945E2" w:rsidRPr="002945E2" w:rsidRDefault="002945E2" w:rsidP="002945E2">
      <w:pPr>
        <w:numPr>
          <w:ilvl w:val="0"/>
          <w:numId w:val="19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How pupils are informed about opportunities.</w:t>
      </w:r>
    </w:p>
    <w:p w14:paraId="339A006E" w14:textId="77777777" w:rsidR="002945E2" w:rsidRPr="002945E2" w:rsidRDefault="002945E2" w:rsidP="002945E2">
      <w:pPr>
        <w:numPr>
          <w:ilvl w:val="0"/>
          <w:numId w:val="19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Links between extra-curricular activities and the school’s values or ethos.</w:t>
      </w:r>
    </w:p>
    <w:p w14:paraId="360F5B92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Ensure you describe and examine the provision clearly, rather than simply listing activities.</w:t>
      </w:r>
    </w:p>
    <w:p w14:paraId="0638C131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pict w14:anchorId="5E08E1C1">
          <v:rect id="_x0000_i1044" style="width:0;height:1.5pt" o:hralign="center" o:hrstd="t" o:hr="t" fillcolor="#a0a0a0" stroked="f"/>
        </w:pict>
      </w:r>
    </w:p>
    <w:p w14:paraId="4A581D69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Entry 2: The Importance of a Range of Extra-Curricular Activities</w:t>
      </w:r>
    </w:p>
    <w:p w14:paraId="316D3038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lastRenderedPageBreak/>
        <w:t>Focus on Criterion 3.2</w:t>
      </w:r>
    </w:p>
    <w:p w14:paraId="44DF9D79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You should:</w:t>
      </w:r>
    </w:p>
    <w:p w14:paraId="51A90F96" w14:textId="77777777" w:rsidR="002945E2" w:rsidRPr="002945E2" w:rsidRDefault="002945E2" w:rsidP="002945E2">
      <w:pPr>
        <w:numPr>
          <w:ilvl w:val="0"/>
          <w:numId w:val="20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Analyse why it is important for schools to offer a wide range of extra-curricular activities.</w:t>
      </w:r>
    </w:p>
    <w:p w14:paraId="5DC7C528" w14:textId="77777777" w:rsidR="002945E2" w:rsidRPr="002945E2" w:rsidRDefault="002945E2" w:rsidP="002945E2">
      <w:pPr>
        <w:numPr>
          <w:ilvl w:val="0"/>
          <w:numId w:val="20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Explain how different activities support:</w:t>
      </w:r>
    </w:p>
    <w:p w14:paraId="53E37D4D" w14:textId="77777777" w:rsidR="002945E2" w:rsidRPr="002945E2" w:rsidRDefault="002945E2" w:rsidP="002945E2">
      <w:pPr>
        <w:numPr>
          <w:ilvl w:val="1"/>
          <w:numId w:val="20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Pupil confidence and self-esteem</w:t>
      </w:r>
    </w:p>
    <w:p w14:paraId="594AD0C8" w14:textId="77777777" w:rsidR="002945E2" w:rsidRPr="002945E2" w:rsidRDefault="002945E2" w:rsidP="002945E2">
      <w:pPr>
        <w:numPr>
          <w:ilvl w:val="1"/>
          <w:numId w:val="20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Social skills and teamwork</w:t>
      </w:r>
    </w:p>
    <w:p w14:paraId="26387262" w14:textId="77777777" w:rsidR="002945E2" w:rsidRPr="002945E2" w:rsidRDefault="002945E2" w:rsidP="002945E2">
      <w:pPr>
        <w:numPr>
          <w:ilvl w:val="1"/>
          <w:numId w:val="20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Behaviour and engagement in school</w:t>
      </w:r>
    </w:p>
    <w:p w14:paraId="5E88D864" w14:textId="77777777" w:rsidR="002945E2" w:rsidRPr="002945E2" w:rsidRDefault="002945E2" w:rsidP="002945E2">
      <w:pPr>
        <w:numPr>
          <w:ilvl w:val="1"/>
          <w:numId w:val="20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Physical and mental wellbeing</w:t>
      </w:r>
    </w:p>
    <w:p w14:paraId="42E25669" w14:textId="77777777" w:rsidR="002945E2" w:rsidRPr="002945E2" w:rsidRDefault="002945E2" w:rsidP="002945E2">
      <w:pPr>
        <w:numPr>
          <w:ilvl w:val="1"/>
          <w:numId w:val="20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Aspirations and future opportunities</w:t>
      </w:r>
    </w:p>
    <w:p w14:paraId="0019CB12" w14:textId="77777777" w:rsidR="002945E2" w:rsidRPr="002945E2" w:rsidRDefault="002945E2" w:rsidP="002945E2">
      <w:pPr>
        <w:numPr>
          <w:ilvl w:val="0"/>
          <w:numId w:val="20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Consider how extra-curricular provision supports pupils who may struggle academically.</w:t>
      </w:r>
    </w:p>
    <w:p w14:paraId="78902B9B" w14:textId="77777777" w:rsidR="002945E2" w:rsidRPr="002945E2" w:rsidRDefault="002945E2" w:rsidP="002945E2">
      <w:pPr>
        <w:numPr>
          <w:ilvl w:val="0"/>
          <w:numId w:val="20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Analyse the role of enrichment in promoting equality, inclusion, and personal development.</w:t>
      </w:r>
    </w:p>
    <w:p w14:paraId="4DE5D0BF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You may include:</w:t>
      </w:r>
    </w:p>
    <w:p w14:paraId="0486052F" w14:textId="77777777" w:rsidR="002945E2" w:rsidRPr="002945E2" w:rsidRDefault="002945E2" w:rsidP="002945E2">
      <w:pPr>
        <w:numPr>
          <w:ilvl w:val="0"/>
          <w:numId w:val="21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Links between extra-curricular participation and improved attendance or behaviour.</w:t>
      </w:r>
    </w:p>
    <w:p w14:paraId="24818EBA" w14:textId="77777777" w:rsidR="002945E2" w:rsidRPr="002945E2" w:rsidRDefault="002945E2" w:rsidP="002945E2">
      <w:pPr>
        <w:numPr>
          <w:ilvl w:val="0"/>
          <w:numId w:val="21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How activities help pupils develop transferable skills (e.g. leadership, resilience, communication).</w:t>
      </w:r>
    </w:p>
    <w:p w14:paraId="194D4752" w14:textId="77777777" w:rsidR="002945E2" w:rsidRPr="002945E2" w:rsidRDefault="002945E2" w:rsidP="002945E2">
      <w:pPr>
        <w:numPr>
          <w:ilvl w:val="0"/>
          <w:numId w:val="21"/>
        </w:num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The importance of pupil choice and motivation.</w:t>
      </w:r>
    </w:p>
    <w:p w14:paraId="44B5CEC9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Ensure you clearly explain how and why a broad range of activities supports pupils’ overall development and readiness for life beyond school.</w:t>
      </w:r>
    </w:p>
    <w:p w14:paraId="0DCABF21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pict w14:anchorId="15C982E1">
          <v:rect id="_x0000_i1045" style="width:0;height:1.5pt" o:hralign="center" o:hrstd="t" o:hr="t" fillcolor="#a0a0a0" stroked="f"/>
        </w:pict>
      </w:r>
    </w:p>
    <w:p w14:paraId="3612FAC1" w14:textId="77777777" w:rsidR="002945E2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lastRenderedPageBreak/>
        <w:t>Final Reminder</w:t>
      </w:r>
    </w:p>
    <w:p w14:paraId="14A27C01" w14:textId="6D26955D" w:rsidR="00471CB8" w:rsidRPr="002945E2" w:rsidRDefault="002945E2" w:rsidP="002945E2">
      <w:pPr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</w:pPr>
      <w:r w:rsidRPr="002945E2">
        <w:rPr>
          <w:rFonts w:ascii="Calibri" w:hAnsi="Calibri" w:cs="Calibri"/>
          <w:b/>
          <w:bCs/>
          <w:color w:val="7F7F7F" w:themeColor="text1" w:themeTint="80"/>
          <w:sz w:val="24"/>
          <w:szCs w:val="24"/>
          <w:lang w:val="en-GB"/>
        </w:rPr>
        <w:t>Your journal should demonstrate understanding, examination, and analysis, not just description. Link your observations back to pupil development and school practice throughout.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2945E2" w14:paraId="06973EFA" w14:textId="77777777">
        <w:tc>
          <w:tcPr>
            <w:tcW w:w="8640" w:type="dxa"/>
          </w:tcPr>
          <w:p w14:paraId="387BF5F3" w14:textId="77777777" w:rsidR="00471CB8" w:rsidRPr="002945E2" w:rsidRDefault="00000000">
            <w:pPr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</w:pPr>
            <w:r w:rsidRPr="002945E2"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  <w:t>Click here to type...</w:t>
            </w:r>
          </w:p>
        </w:tc>
      </w:tr>
    </w:tbl>
    <w:p w14:paraId="3821C724" w14:textId="77777777" w:rsidR="00471CB8" w:rsidRPr="002945E2" w:rsidRDefault="00471CB8">
      <w:pPr>
        <w:rPr>
          <w:rFonts w:ascii="Calibri" w:hAnsi="Calibri" w:cs="Calibri"/>
          <w:color w:val="7F7F7F" w:themeColor="text1" w:themeTint="80"/>
          <w:sz w:val="24"/>
          <w:szCs w:val="24"/>
        </w:rPr>
      </w:pPr>
    </w:p>
    <w:p w14:paraId="33AB20F5" w14:textId="77777777" w:rsidR="00471CB8" w:rsidRPr="002945E2" w:rsidRDefault="00471CB8">
      <w:pPr>
        <w:rPr>
          <w:rFonts w:ascii="Calibri" w:hAnsi="Calibri" w:cs="Calibri"/>
          <w:sz w:val="24"/>
          <w:szCs w:val="24"/>
        </w:rPr>
      </w:pPr>
    </w:p>
    <w:sectPr w:rsidR="00471CB8" w:rsidRPr="002945E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CA87" w14:textId="77777777" w:rsidR="00AD14E3" w:rsidRDefault="00AD14E3" w:rsidP="00B510C0">
      <w:pPr>
        <w:spacing w:after="0" w:line="240" w:lineRule="auto"/>
      </w:pPr>
      <w:r>
        <w:separator/>
      </w:r>
    </w:p>
  </w:endnote>
  <w:endnote w:type="continuationSeparator" w:id="0">
    <w:p w14:paraId="6FEB4E7E" w14:textId="77777777" w:rsidR="00AD14E3" w:rsidRDefault="00AD14E3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1506" w14:textId="77777777" w:rsidR="00AD14E3" w:rsidRDefault="00AD14E3" w:rsidP="00B510C0">
      <w:pPr>
        <w:spacing w:after="0" w:line="240" w:lineRule="auto"/>
      </w:pPr>
      <w:r>
        <w:separator/>
      </w:r>
    </w:p>
  </w:footnote>
  <w:footnote w:type="continuationSeparator" w:id="0">
    <w:p w14:paraId="766C0ECD" w14:textId="77777777" w:rsidR="00AD14E3" w:rsidRDefault="00AD14E3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3398F"/>
    <w:multiLevelType w:val="multilevel"/>
    <w:tmpl w:val="9F0A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05CBD"/>
    <w:multiLevelType w:val="multilevel"/>
    <w:tmpl w:val="F98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D0A62"/>
    <w:multiLevelType w:val="multilevel"/>
    <w:tmpl w:val="F9E4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22FB1"/>
    <w:multiLevelType w:val="multilevel"/>
    <w:tmpl w:val="A108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E77DB"/>
    <w:multiLevelType w:val="multilevel"/>
    <w:tmpl w:val="A62C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0"/>
  </w:num>
  <w:num w:numId="11" w16cid:durableId="304311754">
    <w:abstractNumId w:val="12"/>
  </w:num>
  <w:num w:numId="12" w16cid:durableId="1076440472">
    <w:abstractNumId w:val="16"/>
  </w:num>
  <w:num w:numId="13" w16cid:durableId="1678313914">
    <w:abstractNumId w:val="13"/>
  </w:num>
  <w:num w:numId="14" w16cid:durableId="2045210421">
    <w:abstractNumId w:val="9"/>
  </w:num>
  <w:num w:numId="15" w16cid:durableId="1499611906">
    <w:abstractNumId w:val="18"/>
  </w:num>
  <w:num w:numId="16" w16cid:durableId="1383989517">
    <w:abstractNumId w:val="19"/>
  </w:num>
  <w:num w:numId="17" w16cid:durableId="2143034484">
    <w:abstractNumId w:val="14"/>
  </w:num>
  <w:num w:numId="18" w16cid:durableId="1498115135">
    <w:abstractNumId w:val="17"/>
  </w:num>
  <w:num w:numId="19" w16cid:durableId="785463920">
    <w:abstractNumId w:val="20"/>
  </w:num>
  <w:num w:numId="20" w16cid:durableId="1509296907">
    <w:abstractNumId w:val="11"/>
  </w:num>
  <w:num w:numId="21" w16cid:durableId="1976715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10"/>
    <w:rsid w:val="00013000"/>
    <w:rsid w:val="00034616"/>
    <w:rsid w:val="00055E63"/>
    <w:rsid w:val="0006063C"/>
    <w:rsid w:val="00143F3E"/>
    <w:rsid w:val="0015074B"/>
    <w:rsid w:val="001803BE"/>
    <w:rsid w:val="00207629"/>
    <w:rsid w:val="002945E2"/>
    <w:rsid w:val="0029639D"/>
    <w:rsid w:val="0031025E"/>
    <w:rsid w:val="00326F90"/>
    <w:rsid w:val="00341E54"/>
    <w:rsid w:val="00342427"/>
    <w:rsid w:val="0038267B"/>
    <w:rsid w:val="003E6A7F"/>
    <w:rsid w:val="00400E14"/>
    <w:rsid w:val="00430D2F"/>
    <w:rsid w:val="00471CB8"/>
    <w:rsid w:val="005B1A56"/>
    <w:rsid w:val="00631272"/>
    <w:rsid w:val="006374E5"/>
    <w:rsid w:val="00640EF4"/>
    <w:rsid w:val="006C101C"/>
    <w:rsid w:val="006C1C4D"/>
    <w:rsid w:val="006E04B8"/>
    <w:rsid w:val="006F097B"/>
    <w:rsid w:val="007047F0"/>
    <w:rsid w:val="00707499"/>
    <w:rsid w:val="0092791C"/>
    <w:rsid w:val="00A009A0"/>
    <w:rsid w:val="00A73337"/>
    <w:rsid w:val="00AA1D8D"/>
    <w:rsid w:val="00AD14E3"/>
    <w:rsid w:val="00AD2515"/>
    <w:rsid w:val="00AE48DB"/>
    <w:rsid w:val="00B47730"/>
    <w:rsid w:val="00B510C0"/>
    <w:rsid w:val="00C83546"/>
    <w:rsid w:val="00CB0664"/>
    <w:rsid w:val="00CF2F1A"/>
    <w:rsid w:val="00E5347B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2026-01-20T18:21:00Z</dcterms:created>
  <dcterms:modified xsi:type="dcterms:W3CDTF">2026-01-20T18:21:00Z</dcterms:modified>
  <cp:category/>
</cp:coreProperties>
</file>