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AD70" w14:textId="77777777" w:rsidR="00FF4BF5" w:rsidRDefault="00FF4BF5" w:rsidP="00FF4BF5">
      <w:pPr>
        <w:jc w:val="center"/>
        <w:rPr>
          <w:b/>
          <w:bCs/>
        </w:rPr>
      </w:pPr>
      <w:r w:rsidRPr="00FF4BF5">
        <w:rPr>
          <w:b/>
          <w:bCs/>
        </w:rPr>
        <w:t>Fundamentals Study Group – Session 1: Professional Values</w:t>
      </w:r>
    </w:p>
    <w:p w14:paraId="54B4CEB6" w14:textId="5AC44C4C" w:rsidR="00FF4BF5" w:rsidRPr="00FF4BF5" w:rsidRDefault="00FF4BF5" w:rsidP="00FF4BF5">
      <w:pPr>
        <w:jc w:val="center"/>
        <w:rPr>
          <w:b/>
          <w:bCs/>
        </w:rPr>
      </w:pPr>
      <w:r>
        <w:rPr>
          <w:b/>
          <w:bCs/>
        </w:rPr>
        <w:t>KEY NOTES</w:t>
      </w:r>
    </w:p>
    <w:p w14:paraId="2A2274DC" w14:textId="77777777" w:rsidR="00FF4BF5" w:rsidRPr="00FF4BF5" w:rsidRDefault="00FF4BF5" w:rsidP="00FF4BF5">
      <w:pPr>
        <w:jc w:val="center"/>
      </w:pPr>
      <w:r w:rsidRPr="00FF4BF5">
        <w:rPr>
          <w:b/>
          <w:bCs/>
        </w:rPr>
        <w:t>Monday 26 January | 4:00–5:00pm</w:t>
      </w:r>
    </w:p>
    <w:p w14:paraId="06E9E73B" w14:textId="77777777" w:rsidR="00FF4BF5" w:rsidRPr="00FF4BF5" w:rsidRDefault="00000000" w:rsidP="00FF4BF5">
      <w:r>
        <w:pict w14:anchorId="1AA10E52">
          <v:rect id="_x0000_i1025" style="width:0;height:1.5pt" o:hralign="center" o:hrstd="t" o:hr="t" fillcolor="#a0a0a0" stroked="f"/>
        </w:pict>
      </w:r>
    </w:p>
    <w:p w14:paraId="5658649A" w14:textId="77777777" w:rsidR="00FF4BF5" w:rsidRPr="00FF4BF5" w:rsidRDefault="00FF4BF5" w:rsidP="00FF4BF5">
      <w:pPr>
        <w:rPr>
          <w:b/>
          <w:bCs/>
        </w:rPr>
      </w:pPr>
      <w:r w:rsidRPr="00FF4BF5">
        <w:rPr>
          <w:b/>
          <w:bCs/>
        </w:rPr>
        <w:t>Session Opening and Technical Setup</w:t>
      </w:r>
    </w:p>
    <w:p w14:paraId="18183B32" w14:textId="77777777" w:rsidR="00FF4BF5" w:rsidRPr="00FF4BF5" w:rsidRDefault="00FF4BF5" w:rsidP="00FF4BF5">
      <w:pPr>
        <w:numPr>
          <w:ilvl w:val="0"/>
          <w:numId w:val="1"/>
        </w:numPr>
      </w:pPr>
      <w:r w:rsidRPr="00FF4BF5">
        <w:rPr>
          <w:b/>
          <w:bCs/>
        </w:rPr>
        <w:t>Simona</w:t>
      </w:r>
      <w:r w:rsidRPr="00FF4BF5">
        <w:t xml:space="preserve"> opened the session at 3:55pm, explaining that the five-minute buffer was intentional to allow participants time to join, resolve technical issues, and ensure a prompt 4:00pm start.</w:t>
      </w:r>
    </w:p>
    <w:p w14:paraId="43343250" w14:textId="77777777" w:rsidR="00FF4BF5" w:rsidRPr="00FF4BF5" w:rsidRDefault="00FF4BF5" w:rsidP="00FF4BF5">
      <w:pPr>
        <w:numPr>
          <w:ilvl w:val="0"/>
          <w:numId w:val="1"/>
        </w:numPr>
      </w:pPr>
      <w:r w:rsidRPr="00FF4BF5">
        <w:rPr>
          <w:b/>
          <w:bCs/>
        </w:rPr>
        <w:t>Simona</w:t>
      </w:r>
      <w:r w:rsidRPr="00FF4BF5">
        <w:t xml:space="preserve"> asked all trainees to verbally test their microphones to confirm audio functionality and ensure everyone could participate fully.</w:t>
      </w:r>
    </w:p>
    <w:p w14:paraId="447AFAC2" w14:textId="77777777" w:rsidR="00FF4BF5" w:rsidRPr="00FF4BF5" w:rsidRDefault="00FF4BF5" w:rsidP="00FF4BF5">
      <w:pPr>
        <w:numPr>
          <w:ilvl w:val="0"/>
          <w:numId w:val="1"/>
        </w:numPr>
      </w:pPr>
      <w:r w:rsidRPr="00FF4BF5">
        <w:rPr>
          <w:b/>
          <w:bCs/>
        </w:rPr>
        <w:t>Simona</w:t>
      </w:r>
      <w:r w:rsidRPr="00FF4BF5">
        <w:t xml:space="preserve"> shared the Nearpod link multiple times in the chat and explained that it would allow trainees to follow the session content interactively and submit written responses.</w:t>
      </w:r>
    </w:p>
    <w:p w14:paraId="3CF2BA32" w14:textId="77777777" w:rsidR="00FF4BF5" w:rsidRPr="00FF4BF5" w:rsidRDefault="00FF4BF5" w:rsidP="00FF4BF5">
      <w:pPr>
        <w:numPr>
          <w:ilvl w:val="0"/>
          <w:numId w:val="1"/>
        </w:numPr>
      </w:pPr>
      <w:r w:rsidRPr="00FF4BF5">
        <w:rPr>
          <w:b/>
          <w:bCs/>
        </w:rPr>
        <w:t>Simona</w:t>
      </w:r>
      <w:r w:rsidRPr="00FF4BF5">
        <w:t xml:space="preserve"> reassured </w:t>
      </w:r>
      <w:proofErr w:type="gramStart"/>
      <w:r w:rsidRPr="00FF4BF5">
        <w:t>late</w:t>
      </w:r>
      <w:proofErr w:type="gramEnd"/>
      <w:r w:rsidRPr="00FF4BF5">
        <w:t xml:space="preserve"> arrivals that session notes would be uploaded afterwards so no one would miss essential content.</w:t>
      </w:r>
    </w:p>
    <w:p w14:paraId="46DDE236" w14:textId="77777777" w:rsidR="00FF4BF5" w:rsidRPr="00FF4BF5" w:rsidRDefault="00000000" w:rsidP="00FF4BF5">
      <w:r>
        <w:pict w14:anchorId="2FAF17D6">
          <v:rect id="_x0000_i1026" style="width:0;height:1.5pt" o:hralign="center" o:hrstd="t" o:hr="t" fillcolor="#a0a0a0" stroked="f"/>
        </w:pict>
      </w:r>
    </w:p>
    <w:p w14:paraId="493C077C" w14:textId="77777777" w:rsidR="00FF4BF5" w:rsidRPr="00FF4BF5" w:rsidRDefault="00FF4BF5" w:rsidP="00FF4BF5">
      <w:pPr>
        <w:rPr>
          <w:b/>
          <w:bCs/>
        </w:rPr>
      </w:pPr>
      <w:r w:rsidRPr="00FF4BF5">
        <w:rPr>
          <w:b/>
          <w:bCs/>
        </w:rPr>
        <w:t>Housekeeping and Participation Expectations</w:t>
      </w:r>
    </w:p>
    <w:p w14:paraId="1EF80008" w14:textId="77777777" w:rsidR="00FF4BF5" w:rsidRPr="00FF4BF5" w:rsidRDefault="00FF4BF5" w:rsidP="00FF4BF5">
      <w:pPr>
        <w:numPr>
          <w:ilvl w:val="0"/>
          <w:numId w:val="2"/>
        </w:numPr>
      </w:pPr>
      <w:r w:rsidRPr="00FF4BF5">
        <w:rPr>
          <w:b/>
          <w:bCs/>
        </w:rPr>
        <w:t>Simona</w:t>
      </w:r>
      <w:r w:rsidRPr="00FF4BF5">
        <w:t xml:space="preserve"> explained that cameras should be kept on wherever possible, as the study groups were designed to help trainees build relationships, reduce isolation, and develop confidence while training in different schools.</w:t>
      </w:r>
    </w:p>
    <w:p w14:paraId="2B260089" w14:textId="742D2668" w:rsidR="00FF4BF5" w:rsidRPr="00FF4BF5" w:rsidRDefault="00FF4BF5" w:rsidP="00FF4BF5">
      <w:pPr>
        <w:numPr>
          <w:ilvl w:val="0"/>
          <w:numId w:val="2"/>
        </w:numPr>
      </w:pPr>
      <w:r w:rsidRPr="00FF4BF5">
        <w:rPr>
          <w:b/>
          <w:bCs/>
        </w:rPr>
        <w:t>Simona</w:t>
      </w:r>
      <w:r w:rsidRPr="00FF4BF5">
        <w:t xml:space="preserve"> emphasised that </w:t>
      </w:r>
      <w:r>
        <w:t xml:space="preserve">remote </w:t>
      </w:r>
      <w:r w:rsidRPr="00FF4BF5">
        <w:t>teacher training can be a lonely experience and that these sessions were intended to create a sense of cohort and shared professional identity.</w:t>
      </w:r>
    </w:p>
    <w:p w14:paraId="6BEF4223" w14:textId="77777777" w:rsidR="00FF4BF5" w:rsidRPr="00FF4BF5" w:rsidRDefault="00FF4BF5" w:rsidP="00FF4BF5">
      <w:pPr>
        <w:numPr>
          <w:ilvl w:val="0"/>
          <w:numId w:val="2"/>
        </w:numPr>
      </w:pPr>
      <w:r w:rsidRPr="00FF4BF5">
        <w:rPr>
          <w:b/>
          <w:bCs/>
        </w:rPr>
        <w:t>Simona</w:t>
      </w:r>
      <w:r w:rsidRPr="00FF4BF5">
        <w:t xml:space="preserve"> clarified that both verbal and written contributions made during the study group would count as portfolio evidence towards the Level 4 qualification.</w:t>
      </w:r>
    </w:p>
    <w:p w14:paraId="54C925A9" w14:textId="77777777" w:rsidR="00FF4BF5" w:rsidRPr="00FF4BF5" w:rsidRDefault="00FF4BF5" w:rsidP="00FF4BF5">
      <w:pPr>
        <w:numPr>
          <w:ilvl w:val="0"/>
          <w:numId w:val="2"/>
        </w:numPr>
      </w:pPr>
      <w:r w:rsidRPr="00FF4BF5">
        <w:rPr>
          <w:b/>
          <w:bCs/>
        </w:rPr>
        <w:t>Simona</w:t>
      </w:r>
      <w:r w:rsidRPr="00FF4BF5">
        <w:t xml:space="preserve"> explained that the session recording and transcript could be used </w:t>
      </w:r>
      <w:proofErr w:type="gramStart"/>
      <w:r w:rsidRPr="00FF4BF5">
        <w:t>to</w:t>
      </w:r>
      <w:proofErr w:type="gramEnd"/>
      <w:r w:rsidRPr="00FF4BF5">
        <w:t xml:space="preserve"> evidence assessment criteria if a trainee demonstrated understanding verbally.</w:t>
      </w:r>
    </w:p>
    <w:p w14:paraId="43B6A26E" w14:textId="77777777" w:rsidR="00FF4BF5" w:rsidRPr="00FF4BF5" w:rsidRDefault="00FF4BF5" w:rsidP="00FF4BF5">
      <w:pPr>
        <w:numPr>
          <w:ilvl w:val="0"/>
          <w:numId w:val="2"/>
        </w:numPr>
      </w:pPr>
      <w:r w:rsidRPr="00FF4BF5">
        <w:rPr>
          <w:b/>
          <w:bCs/>
        </w:rPr>
        <w:lastRenderedPageBreak/>
        <w:t>Simona</w:t>
      </w:r>
      <w:r w:rsidRPr="00FF4BF5">
        <w:t xml:space="preserve"> reminded trainees that any preparatory notes completed before the session could be uploaded to the relevant topic page and used as admissible evidence.</w:t>
      </w:r>
    </w:p>
    <w:p w14:paraId="50822E3A" w14:textId="77777777" w:rsidR="00FF4BF5" w:rsidRPr="00FF4BF5" w:rsidRDefault="00FF4BF5" w:rsidP="00FF4BF5">
      <w:pPr>
        <w:numPr>
          <w:ilvl w:val="0"/>
          <w:numId w:val="2"/>
        </w:numPr>
      </w:pPr>
      <w:r w:rsidRPr="00FF4BF5">
        <w:rPr>
          <w:b/>
          <w:bCs/>
        </w:rPr>
        <w:t>Simona</w:t>
      </w:r>
      <w:r w:rsidRPr="00FF4BF5">
        <w:t xml:space="preserve"> referred trainees to the Monday Mailer, highlighting important information about the upcoming face-to-face training session in Peterborough and the need to complete the dietary requirements form promptly.</w:t>
      </w:r>
    </w:p>
    <w:p w14:paraId="2D343FDD" w14:textId="77777777" w:rsidR="00FF4BF5" w:rsidRPr="00FF4BF5" w:rsidRDefault="00FF4BF5" w:rsidP="00FF4BF5">
      <w:pPr>
        <w:numPr>
          <w:ilvl w:val="0"/>
          <w:numId w:val="2"/>
        </w:numPr>
      </w:pPr>
      <w:r w:rsidRPr="00FF4BF5">
        <w:rPr>
          <w:b/>
          <w:bCs/>
        </w:rPr>
        <w:t>Simona</w:t>
      </w:r>
      <w:r w:rsidRPr="00FF4BF5">
        <w:t xml:space="preserve"> asked trainees to aim to join future sessions at 3:55pm so that sessions could start and finish on time, respecting trainees’ workload after a full day in school.</w:t>
      </w:r>
    </w:p>
    <w:p w14:paraId="4882BE20" w14:textId="77777777" w:rsidR="00FF4BF5" w:rsidRPr="00FF4BF5" w:rsidRDefault="00000000" w:rsidP="00FF4BF5">
      <w:r>
        <w:pict w14:anchorId="6B32417C">
          <v:rect id="_x0000_i1027" style="width:0;height:1.5pt" o:hralign="center" o:hrstd="t" o:hr="t" fillcolor="#a0a0a0" stroked="f"/>
        </w:pict>
      </w:r>
    </w:p>
    <w:p w14:paraId="5AC4BE58" w14:textId="77777777" w:rsidR="00FF4BF5" w:rsidRPr="00FF4BF5" w:rsidRDefault="00FF4BF5" w:rsidP="00FF4BF5">
      <w:pPr>
        <w:rPr>
          <w:b/>
          <w:bCs/>
        </w:rPr>
      </w:pPr>
      <w:r w:rsidRPr="00FF4BF5">
        <w:rPr>
          <w:b/>
          <w:bCs/>
        </w:rPr>
        <w:t>Purpose and Structure of the Study Groups</w:t>
      </w:r>
    </w:p>
    <w:p w14:paraId="48C72550" w14:textId="77777777" w:rsidR="00FF4BF5" w:rsidRPr="00FF4BF5" w:rsidRDefault="00FF4BF5" w:rsidP="00FF4BF5">
      <w:pPr>
        <w:numPr>
          <w:ilvl w:val="0"/>
          <w:numId w:val="3"/>
        </w:numPr>
      </w:pPr>
      <w:r w:rsidRPr="00FF4BF5">
        <w:rPr>
          <w:b/>
          <w:bCs/>
        </w:rPr>
        <w:t>Simona</w:t>
      </w:r>
      <w:r w:rsidRPr="00FF4BF5">
        <w:t xml:space="preserve"> explained that the study groups were designed to function like university seminars rather than lectures, meaning that they relied on discussion, reflection, and shared thinking rather than one-way delivery.</w:t>
      </w:r>
    </w:p>
    <w:p w14:paraId="1AEF44C2" w14:textId="77777777" w:rsidR="00FF4BF5" w:rsidRPr="00FF4BF5" w:rsidRDefault="00FF4BF5" w:rsidP="00FF4BF5">
      <w:pPr>
        <w:numPr>
          <w:ilvl w:val="0"/>
          <w:numId w:val="3"/>
        </w:numPr>
      </w:pPr>
      <w:r w:rsidRPr="00FF4BF5">
        <w:rPr>
          <w:b/>
          <w:bCs/>
        </w:rPr>
        <w:t>Simona</w:t>
      </w:r>
      <w:r w:rsidRPr="00FF4BF5">
        <w:t xml:space="preserve"> stressed that trainees were expected to contribute ideas, challenge assumptions, and build on one another’s responses throughout the session.</w:t>
      </w:r>
    </w:p>
    <w:p w14:paraId="682D8005" w14:textId="77777777" w:rsidR="00FF4BF5" w:rsidRPr="00FF4BF5" w:rsidRDefault="00FF4BF5" w:rsidP="00FF4BF5">
      <w:pPr>
        <w:numPr>
          <w:ilvl w:val="0"/>
          <w:numId w:val="3"/>
        </w:numPr>
      </w:pPr>
      <w:r w:rsidRPr="00FF4BF5">
        <w:rPr>
          <w:b/>
          <w:bCs/>
        </w:rPr>
        <w:t>Simona</w:t>
      </w:r>
      <w:r w:rsidRPr="00FF4BF5">
        <w:t xml:space="preserve"> outlined that there would be four study groups in total, covering professional values, behaviour for learning, lesson planning, and formative assessment.</w:t>
      </w:r>
    </w:p>
    <w:p w14:paraId="34952CD7" w14:textId="77777777" w:rsidR="00FF4BF5" w:rsidRPr="00FF4BF5" w:rsidRDefault="00FF4BF5" w:rsidP="00FF4BF5">
      <w:pPr>
        <w:numPr>
          <w:ilvl w:val="0"/>
          <w:numId w:val="3"/>
        </w:numPr>
      </w:pPr>
      <w:r w:rsidRPr="00FF4BF5">
        <w:rPr>
          <w:b/>
          <w:bCs/>
        </w:rPr>
        <w:t>Simona</w:t>
      </w:r>
      <w:r w:rsidRPr="00FF4BF5">
        <w:t xml:space="preserve"> explained that the overarching purpose of the study groups was to deepen understanding, fill knowledge gaps, develop critical thinking, and link educational theory to classroom practice and observations.</w:t>
      </w:r>
    </w:p>
    <w:p w14:paraId="59E5F298" w14:textId="77777777" w:rsidR="00FF4BF5" w:rsidRPr="00FF4BF5" w:rsidRDefault="00000000" w:rsidP="00FF4BF5">
      <w:r>
        <w:pict w14:anchorId="02071C99">
          <v:rect id="_x0000_i1028" style="width:0;height:1.5pt" o:hralign="center" o:hrstd="t" o:hr="t" fillcolor="#a0a0a0" stroked="f"/>
        </w:pict>
      </w:r>
    </w:p>
    <w:p w14:paraId="65989DCA" w14:textId="77777777" w:rsidR="00FF4BF5" w:rsidRPr="00FF4BF5" w:rsidRDefault="00FF4BF5" w:rsidP="00FF4BF5">
      <w:pPr>
        <w:rPr>
          <w:b/>
          <w:bCs/>
        </w:rPr>
      </w:pPr>
      <w:r w:rsidRPr="00FF4BF5">
        <w:rPr>
          <w:b/>
          <w:bCs/>
        </w:rPr>
        <w:t>Assessment Criteria and Transparency</w:t>
      </w:r>
    </w:p>
    <w:p w14:paraId="2AEA2FCB" w14:textId="0BB18A4F" w:rsidR="00FF4BF5" w:rsidRPr="00FF4BF5" w:rsidRDefault="00FF4BF5" w:rsidP="00FF4BF5">
      <w:pPr>
        <w:numPr>
          <w:ilvl w:val="0"/>
          <w:numId w:val="4"/>
        </w:numPr>
      </w:pPr>
      <w:r w:rsidRPr="00FF4BF5">
        <w:rPr>
          <w:b/>
          <w:bCs/>
        </w:rPr>
        <w:t>Simona</w:t>
      </w:r>
      <w:r w:rsidRPr="00FF4BF5">
        <w:t xml:space="preserve"> guided trainees to the </w:t>
      </w:r>
      <w:r w:rsidRPr="00FF4BF5">
        <w:rPr>
          <w:i/>
          <w:iCs/>
        </w:rPr>
        <w:t>Assessment guide to L4 Award in Teaching Fundamentals</w:t>
      </w:r>
      <w:r>
        <w:rPr>
          <w:i/>
          <w:iCs/>
        </w:rPr>
        <w:t xml:space="preserve"> </w:t>
      </w:r>
      <w:r w:rsidRPr="00FF4BF5">
        <w:t xml:space="preserve">document </w:t>
      </w:r>
      <w:r>
        <w:t xml:space="preserve">within the </w:t>
      </w:r>
      <w:r w:rsidRPr="00FF4BF5">
        <w:rPr>
          <w:i/>
          <w:iCs/>
        </w:rPr>
        <w:t>Assessment Guide and Key Documents</w:t>
      </w:r>
      <w:r>
        <w:rPr>
          <w:i/>
          <w:iCs/>
        </w:rPr>
        <w:t xml:space="preserve"> </w:t>
      </w:r>
      <w:r w:rsidRPr="00FF4BF5">
        <w:t xml:space="preserve">section of the </w:t>
      </w:r>
      <w:r w:rsidRPr="00FF4BF5">
        <w:rPr>
          <w:i/>
          <w:iCs/>
        </w:rPr>
        <w:t>Teaching Fundamentals Workbook</w:t>
      </w:r>
      <w:r>
        <w:t xml:space="preserve">. The workbook is located within the </w:t>
      </w:r>
      <w:r w:rsidRPr="00FF4BF5">
        <w:rPr>
          <w:i/>
          <w:iCs/>
        </w:rPr>
        <w:t>Materials</w:t>
      </w:r>
      <w:r w:rsidRPr="00FF4BF5">
        <w:t xml:space="preserve"> tab on individual lesson pages</w:t>
      </w:r>
      <w:r>
        <w:t xml:space="preserve">. </w:t>
      </w:r>
    </w:p>
    <w:p w14:paraId="75383750" w14:textId="70E8BC02" w:rsidR="00FF4BF5" w:rsidRPr="00FF4BF5" w:rsidRDefault="00FF4BF5" w:rsidP="00FF4BF5">
      <w:pPr>
        <w:numPr>
          <w:ilvl w:val="0"/>
          <w:numId w:val="4"/>
        </w:numPr>
      </w:pPr>
      <w:r w:rsidRPr="00FF4BF5">
        <w:rPr>
          <w:b/>
          <w:bCs/>
        </w:rPr>
        <w:lastRenderedPageBreak/>
        <w:t>Simona</w:t>
      </w:r>
      <w:r w:rsidRPr="00FF4BF5">
        <w:t xml:space="preserve"> explained that</w:t>
      </w:r>
      <w:r>
        <w:t xml:space="preserve"> </w:t>
      </w:r>
      <w:r w:rsidRPr="00FF4BF5">
        <w:t xml:space="preserve">the </w:t>
      </w:r>
      <w:r w:rsidRPr="00FF4BF5">
        <w:rPr>
          <w:i/>
          <w:iCs/>
        </w:rPr>
        <w:t>Assessment guide to L4 Award in Teaching Fundamentals</w:t>
      </w:r>
      <w:r>
        <w:rPr>
          <w:i/>
          <w:iCs/>
        </w:rPr>
        <w:t xml:space="preserve"> </w:t>
      </w:r>
      <w:r w:rsidRPr="00FF4BF5">
        <w:t>document exists to provide transparency about expectations and to clarify what counts as a pass for each assessment objective.</w:t>
      </w:r>
    </w:p>
    <w:p w14:paraId="08AEFD97" w14:textId="1FE5A313" w:rsidR="00FF4BF5" w:rsidRPr="00FF4BF5" w:rsidRDefault="00FF4BF5" w:rsidP="00FF4BF5">
      <w:pPr>
        <w:numPr>
          <w:ilvl w:val="0"/>
          <w:numId w:val="4"/>
        </w:numPr>
      </w:pPr>
      <w:r w:rsidRPr="00FF4BF5">
        <w:rPr>
          <w:b/>
          <w:bCs/>
        </w:rPr>
        <w:t>Simona</w:t>
      </w:r>
      <w:r w:rsidRPr="00FF4BF5">
        <w:t xml:space="preserve"> </w:t>
      </w:r>
      <w:r>
        <w:t xml:space="preserve">stated that </w:t>
      </w:r>
      <w:r w:rsidRPr="00FF4BF5">
        <w:t>assessment objectives appear across multiple tasks</w:t>
      </w:r>
      <w:r>
        <w:t xml:space="preserve"> so there are multiple opportunities</w:t>
      </w:r>
      <w:r w:rsidRPr="00FF4BF5">
        <w:t xml:space="preserve"> </w:t>
      </w:r>
      <w:r>
        <w:t xml:space="preserve">to hit </w:t>
      </w:r>
      <w:proofErr w:type="gramStart"/>
      <w:r>
        <w:t>this criteria</w:t>
      </w:r>
      <w:proofErr w:type="gramEnd"/>
      <w:r>
        <w:t xml:space="preserve"> </w:t>
      </w:r>
      <w:r w:rsidRPr="00FF4BF5">
        <w:t>rather than needing to be met in a single piece of work.</w:t>
      </w:r>
    </w:p>
    <w:p w14:paraId="1ABAA97A" w14:textId="09216339" w:rsidR="00FF4BF5" w:rsidRPr="00FF4BF5" w:rsidRDefault="00FF4BF5" w:rsidP="00FF4BF5">
      <w:pPr>
        <w:numPr>
          <w:ilvl w:val="0"/>
          <w:numId w:val="4"/>
        </w:numPr>
      </w:pPr>
      <w:r w:rsidRPr="00FF4BF5">
        <w:rPr>
          <w:b/>
          <w:bCs/>
        </w:rPr>
        <w:t>Simona</w:t>
      </w:r>
      <w:r w:rsidRPr="00FF4BF5">
        <w:t xml:space="preserve"> used the Training Day 1 Reflection as an example, explaining that trainees needed to </w:t>
      </w:r>
      <w:r>
        <w:t xml:space="preserve">meet the following criteria in this piece of work: </w:t>
      </w:r>
      <w:r w:rsidRPr="00FF4BF5">
        <w:rPr>
          <w:i/>
          <w:iCs/>
        </w:rPr>
        <w:t>5.1 Examine the personal skills and qualities required to be effective in their role (AO1)</w:t>
      </w:r>
      <w:r w:rsidRPr="00FF4BF5">
        <w:t xml:space="preserve"> </w:t>
      </w:r>
      <w:r>
        <w:t xml:space="preserve">and </w:t>
      </w:r>
      <w:r w:rsidRPr="00FF4BF5">
        <w:rPr>
          <w:i/>
          <w:iCs/>
        </w:rPr>
        <w:t>1.1 Examine the importance of having high behavioural expectations when interacting with pupils (AO2)</w:t>
      </w:r>
      <w:r>
        <w:rPr>
          <w:i/>
          <w:iCs/>
        </w:rPr>
        <w:t xml:space="preserve">. </w:t>
      </w:r>
      <w:r w:rsidRPr="00FF4BF5">
        <w:t>This needs to be specific to their own teaching and their observations rather than writ</w:t>
      </w:r>
      <w:r>
        <w:t>ten</w:t>
      </w:r>
      <w:r w:rsidRPr="00FF4BF5">
        <w:t xml:space="preserve"> in general or abstract terms. </w:t>
      </w:r>
    </w:p>
    <w:p w14:paraId="4A50471B" w14:textId="0548CAFE" w:rsidR="00FF4BF5" w:rsidRPr="00FF4BF5" w:rsidRDefault="00FF4BF5" w:rsidP="00FF4BF5">
      <w:pPr>
        <w:numPr>
          <w:ilvl w:val="0"/>
          <w:numId w:val="4"/>
        </w:numPr>
      </w:pPr>
      <w:r w:rsidRPr="00FF4BF5">
        <w:rPr>
          <w:b/>
          <w:bCs/>
        </w:rPr>
        <w:t>Simona</w:t>
      </w:r>
      <w:r w:rsidRPr="00FF4BF5">
        <w:t xml:space="preserve"> reassured trainees that action points were developmental</w:t>
      </w:r>
      <w:r>
        <w:t xml:space="preserve"> and </w:t>
      </w:r>
      <w:r w:rsidRPr="00FF4BF5">
        <w:t>should be seen as opportunities to strengthen evidence rather than indicators of failure.</w:t>
      </w:r>
    </w:p>
    <w:p w14:paraId="04C4B5E6" w14:textId="77777777" w:rsidR="00FF4BF5" w:rsidRPr="00FF4BF5" w:rsidRDefault="00000000" w:rsidP="00FF4BF5">
      <w:r>
        <w:pict w14:anchorId="65E0D872">
          <v:rect id="_x0000_i1029" style="width:0;height:1.5pt" o:hralign="center" o:hrstd="t" o:hr="t" fillcolor="#a0a0a0" stroked="f"/>
        </w:pict>
      </w:r>
    </w:p>
    <w:p w14:paraId="0982D8ED" w14:textId="77777777" w:rsidR="00FF4BF5" w:rsidRPr="00FF4BF5" w:rsidRDefault="00FF4BF5" w:rsidP="00FF4BF5">
      <w:pPr>
        <w:rPr>
          <w:b/>
          <w:bCs/>
        </w:rPr>
      </w:pPr>
      <w:r w:rsidRPr="00FF4BF5">
        <w:rPr>
          <w:b/>
          <w:bCs/>
        </w:rPr>
        <w:t>Focus of the Session: Professional Values</w:t>
      </w:r>
    </w:p>
    <w:p w14:paraId="7BC8C18E" w14:textId="46A38560" w:rsidR="00FF4BF5" w:rsidRPr="00FF4BF5" w:rsidRDefault="00FF4BF5" w:rsidP="00FF4BF5">
      <w:pPr>
        <w:numPr>
          <w:ilvl w:val="0"/>
          <w:numId w:val="5"/>
        </w:numPr>
      </w:pPr>
      <w:r w:rsidRPr="00FF4BF5">
        <w:rPr>
          <w:b/>
          <w:bCs/>
        </w:rPr>
        <w:t>Simona</w:t>
      </w:r>
      <w:r w:rsidRPr="00FF4BF5">
        <w:t xml:space="preserve"> explained that the session aime</w:t>
      </w:r>
      <w:r>
        <w:t>s</w:t>
      </w:r>
      <w:r w:rsidRPr="00FF4BF5">
        <w:t xml:space="preserve"> to help trainees understand why teaching is considered a profession rather than simply a job.</w:t>
      </w:r>
    </w:p>
    <w:p w14:paraId="5FB64D09" w14:textId="77777777" w:rsidR="00FF4BF5" w:rsidRPr="00FF4BF5" w:rsidRDefault="00FF4BF5" w:rsidP="00FF4BF5">
      <w:pPr>
        <w:numPr>
          <w:ilvl w:val="0"/>
          <w:numId w:val="5"/>
        </w:numPr>
      </w:pPr>
      <w:r w:rsidRPr="00FF4BF5">
        <w:rPr>
          <w:b/>
          <w:bCs/>
        </w:rPr>
        <w:t>Simona</w:t>
      </w:r>
      <w:r w:rsidRPr="00FF4BF5">
        <w:t xml:space="preserve"> stated that trainees would explore professional standards, safeguarding responsibilities, and the concept of professional identity.</w:t>
      </w:r>
    </w:p>
    <w:p w14:paraId="6FB63433" w14:textId="77777777" w:rsidR="00FF4BF5" w:rsidRPr="00FF4BF5" w:rsidRDefault="00FF4BF5" w:rsidP="00FF4BF5">
      <w:pPr>
        <w:numPr>
          <w:ilvl w:val="0"/>
          <w:numId w:val="5"/>
        </w:numPr>
      </w:pPr>
      <w:r w:rsidRPr="00FF4BF5">
        <w:rPr>
          <w:b/>
          <w:bCs/>
        </w:rPr>
        <w:t>Simona</w:t>
      </w:r>
      <w:r w:rsidRPr="00FF4BF5">
        <w:t xml:space="preserve"> highlighted the importance of understanding the type of teacher trainees want to be and the identity they project </w:t>
      </w:r>
      <w:proofErr w:type="gramStart"/>
      <w:r w:rsidRPr="00FF4BF5">
        <w:t>to</w:t>
      </w:r>
      <w:proofErr w:type="gramEnd"/>
      <w:r w:rsidRPr="00FF4BF5">
        <w:t xml:space="preserve"> pupils, colleagues, and the wider community.</w:t>
      </w:r>
    </w:p>
    <w:p w14:paraId="3BFD71E1" w14:textId="77777777" w:rsidR="00FF4BF5" w:rsidRPr="00FF4BF5" w:rsidRDefault="00000000" w:rsidP="00FF4BF5">
      <w:r>
        <w:pict w14:anchorId="7DDC7676">
          <v:rect id="_x0000_i1030" style="width:0;height:1.5pt" o:hralign="center" o:hrstd="t" o:hr="t" fillcolor="#a0a0a0" stroked="f"/>
        </w:pict>
      </w:r>
    </w:p>
    <w:p w14:paraId="05068734" w14:textId="77777777" w:rsidR="00FF4BF5" w:rsidRPr="00FF4BF5" w:rsidRDefault="00FF4BF5" w:rsidP="00FF4BF5">
      <w:pPr>
        <w:rPr>
          <w:b/>
          <w:bCs/>
        </w:rPr>
      </w:pPr>
      <w:r w:rsidRPr="00FF4BF5">
        <w:rPr>
          <w:b/>
          <w:bCs/>
        </w:rPr>
        <w:t>Activity 1: Profession vs Job</w:t>
      </w:r>
    </w:p>
    <w:p w14:paraId="6FE12F28" w14:textId="77777777" w:rsidR="00FF4BF5" w:rsidRPr="00FF4BF5" w:rsidRDefault="00FF4BF5" w:rsidP="00FF4BF5">
      <w:pPr>
        <w:numPr>
          <w:ilvl w:val="0"/>
          <w:numId w:val="5"/>
        </w:numPr>
      </w:pPr>
      <w:r w:rsidRPr="00FF4BF5">
        <w:rPr>
          <w:b/>
          <w:bCs/>
        </w:rPr>
        <w:t>Simona</w:t>
      </w:r>
      <w:r w:rsidRPr="00FF4BF5">
        <w:t xml:space="preserve"> introduced the first Nearpod corkboard activity by asking trainees to consider how a profession differs from a job, and whether teaching should be understood as a profession rather than simply employment.</w:t>
      </w:r>
    </w:p>
    <w:p w14:paraId="2CDAFF9A" w14:textId="2289B13F" w:rsidR="00FF4BF5" w:rsidRPr="00FF4BF5" w:rsidRDefault="00FF4BF5" w:rsidP="00FF4BF5">
      <w:pPr>
        <w:numPr>
          <w:ilvl w:val="0"/>
          <w:numId w:val="5"/>
        </w:numPr>
      </w:pPr>
      <w:r w:rsidRPr="00FF4BF5">
        <w:rPr>
          <w:b/>
          <w:bCs/>
        </w:rPr>
        <w:lastRenderedPageBreak/>
        <w:t xml:space="preserve">Simona </w:t>
      </w:r>
      <w:r w:rsidRPr="00FF4BF5">
        <w:t>explicitly asked trainees to justify their opinions with reasons</w:t>
      </w:r>
      <w:r>
        <w:t>.</w:t>
      </w:r>
    </w:p>
    <w:p w14:paraId="688C8A57" w14:textId="77777777" w:rsidR="00FF4BF5" w:rsidRPr="00FF4BF5" w:rsidRDefault="00FF4BF5" w:rsidP="00FF4BF5">
      <w:pPr>
        <w:numPr>
          <w:ilvl w:val="0"/>
          <w:numId w:val="5"/>
        </w:numPr>
      </w:pPr>
      <w:r w:rsidRPr="00FF4BF5">
        <w:rPr>
          <w:b/>
          <w:bCs/>
        </w:rPr>
        <w:t>Trainees</w:t>
      </w:r>
      <w:r w:rsidRPr="00FF4BF5">
        <w:t xml:space="preserve"> submitted written responses on Nearpod, drawing on prior reading and personal experience from their school placements.</w:t>
      </w:r>
    </w:p>
    <w:p w14:paraId="72A40BD0" w14:textId="77777777" w:rsidR="00FF4BF5" w:rsidRPr="00FF4BF5" w:rsidRDefault="00FF4BF5" w:rsidP="00FF4BF5">
      <w:pPr>
        <w:numPr>
          <w:ilvl w:val="0"/>
          <w:numId w:val="5"/>
        </w:numPr>
      </w:pPr>
      <w:r w:rsidRPr="00FF4BF5">
        <w:rPr>
          <w:b/>
          <w:bCs/>
        </w:rPr>
        <w:t>A trainee</w:t>
      </w:r>
      <w:r w:rsidRPr="00FF4BF5">
        <w:t xml:space="preserve"> suggested that a profession involves </w:t>
      </w:r>
      <w:proofErr w:type="gramStart"/>
      <w:r w:rsidRPr="00FF4BF5">
        <w:t>a long</w:t>
      </w:r>
      <w:proofErr w:type="gramEnd"/>
      <w:r w:rsidRPr="00FF4BF5">
        <w:t>-term commitment, a shared standard of conduct, and an expectation that individuals uphold those standards both inside and outside the workplace.</w:t>
      </w:r>
    </w:p>
    <w:p w14:paraId="1A660D19" w14:textId="77777777" w:rsidR="00FF4BF5" w:rsidRPr="00FF4BF5" w:rsidRDefault="00FF4BF5" w:rsidP="00FF4BF5">
      <w:pPr>
        <w:numPr>
          <w:ilvl w:val="0"/>
          <w:numId w:val="5"/>
        </w:numPr>
      </w:pPr>
      <w:r w:rsidRPr="00FF4BF5">
        <w:rPr>
          <w:b/>
          <w:bCs/>
        </w:rPr>
        <w:t>Simona</w:t>
      </w:r>
      <w:r w:rsidRPr="00FF4BF5">
        <w:t xml:space="preserve"> prompted the trainee to expand on this idea, asking what differentiates professional expectations from ordinary workplace expectations.</w:t>
      </w:r>
    </w:p>
    <w:p w14:paraId="58112629" w14:textId="77777777" w:rsidR="00FF4BF5" w:rsidRPr="00FF4BF5" w:rsidRDefault="00FF4BF5" w:rsidP="00FF4BF5">
      <w:pPr>
        <w:numPr>
          <w:ilvl w:val="0"/>
          <w:numId w:val="5"/>
        </w:numPr>
      </w:pPr>
      <w:r w:rsidRPr="00FF4BF5">
        <w:rPr>
          <w:b/>
          <w:bCs/>
        </w:rPr>
        <w:t>The trainee</w:t>
      </w:r>
      <w:r w:rsidRPr="00FF4BF5">
        <w:t xml:space="preserve"> explained that professions usually require formal education, training, and qualifications, and that entering a profession carries a moral responsibility to maintain certain standards of behaviour.</w:t>
      </w:r>
    </w:p>
    <w:p w14:paraId="24F1E7EF" w14:textId="77777777" w:rsidR="00FF4BF5" w:rsidRPr="00FF4BF5" w:rsidRDefault="00FF4BF5" w:rsidP="00FF4BF5">
      <w:pPr>
        <w:numPr>
          <w:ilvl w:val="0"/>
          <w:numId w:val="5"/>
        </w:numPr>
      </w:pPr>
      <w:r w:rsidRPr="00066D35">
        <w:rPr>
          <w:b/>
          <w:bCs/>
        </w:rPr>
        <w:t>Simona</w:t>
      </w:r>
      <w:r w:rsidRPr="00FF4BF5">
        <w:t xml:space="preserve"> reinforced this by explaining that teaching requires a minimum level of academic qualification, typically an undergraduate degree followed by formal teacher training such as a PGCE or equivalent route.</w:t>
      </w:r>
    </w:p>
    <w:p w14:paraId="6F5B8B05" w14:textId="77777777" w:rsidR="00FF4BF5" w:rsidRPr="00FF4BF5" w:rsidRDefault="00FF4BF5" w:rsidP="00FF4BF5">
      <w:pPr>
        <w:numPr>
          <w:ilvl w:val="0"/>
          <w:numId w:val="5"/>
        </w:numPr>
      </w:pPr>
      <w:r w:rsidRPr="00066D35">
        <w:rPr>
          <w:b/>
          <w:bCs/>
        </w:rPr>
        <w:t>Simona</w:t>
      </w:r>
      <w:r w:rsidRPr="00FF4BF5">
        <w:t xml:space="preserve"> invited comparison with other roles and asked trainees to identify professions that do not require university-level education.</w:t>
      </w:r>
    </w:p>
    <w:p w14:paraId="25F13ECC" w14:textId="77777777" w:rsidR="00FF4BF5" w:rsidRPr="00FF4BF5" w:rsidRDefault="00FF4BF5" w:rsidP="00FF4BF5">
      <w:pPr>
        <w:numPr>
          <w:ilvl w:val="0"/>
          <w:numId w:val="5"/>
        </w:numPr>
      </w:pPr>
      <w:r w:rsidRPr="00066D35">
        <w:rPr>
          <w:b/>
          <w:bCs/>
        </w:rPr>
        <w:t>A trainee</w:t>
      </w:r>
      <w:r w:rsidRPr="00FF4BF5">
        <w:t xml:space="preserve"> used trades such as plumbing as an example, explaining that while these roles require specialist training and experience, they do not require the same academic pathway as teaching.</w:t>
      </w:r>
    </w:p>
    <w:p w14:paraId="3302D4E1" w14:textId="77777777" w:rsidR="00FF4BF5" w:rsidRPr="00FF4BF5" w:rsidRDefault="00FF4BF5" w:rsidP="00FF4BF5">
      <w:pPr>
        <w:numPr>
          <w:ilvl w:val="0"/>
          <w:numId w:val="5"/>
        </w:numPr>
      </w:pPr>
      <w:r w:rsidRPr="00066D35">
        <w:rPr>
          <w:b/>
          <w:bCs/>
        </w:rPr>
        <w:t>Simona</w:t>
      </w:r>
      <w:r w:rsidRPr="00FF4BF5">
        <w:t xml:space="preserve"> acknowledged this point and clarified that although both teaching and trades require skill and experience, the level and type of education required distinguishes teaching as a profession in a traditional academic sense.</w:t>
      </w:r>
    </w:p>
    <w:p w14:paraId="0EAD7B22" w14:textId="77777777" w:rsidR="00FF4BF5" w:rsidRPr="00FF4BF5" w:rsidRDefault="00FF4BF5" w:rsidP="00FF4BF5">
      <w:pPr>
        <w:numPr>
          <w:ilvl w:val="0"/>
          <w:numId w:val="5"/>
        </w:numPr>
      </w:pPr>
      <w:r w:rsidRPr="00066D35">
        <w:rPr>
          <w:b/>
          <w:bCs/>
        </w:rPr>
        <w:t xml:space="preserve">Simona </w:t>
      </w:r>
      <w:r w:rsidRPr="00FF4BF5">
        <w:t>then introduced professional football as a contrasting example and asked whether being a professional footballer constitutes belonging to a profession or simply doing a job.</w:t>
      </w:r>
    </w:p>
    <w:p w14:paraId="30596E17" w14:textId="77777777" w:rsidR="00FF4BF5" w:rsidRPr="00FF4BF5" w:rsidRDefault="00FF4BF5" w:rsidP="00FF4BF5">
      <w:pPr>
        <w:numPr>
          <w:ilvl w:val="0"/>
          <w:numId w:val="5"/>
        </w:numPr>
      </w:pPr>
      <w:r w:rsidRPr="00066D35">
        <w:rPr>
          <w:b/>
          <w:bCs/>
        </w:rPr>
        <w:t>A trainee</w:t>
      </w:r>
      <w:r w:rsidRPr="00FF4BF5">
        <w:t xml:space="preserve"> argued that footballers are more likely to be doing a job, as many are scouted young and do not require formal qualifications to enter the role.</w:t>
      </w:r>
    </w:p>
    <w:p w14:paraId="71E13EAC" w14:textId="1DC4DECF" w:rsidR="00FF4BF5" w:rsidRPr="00FF4BF5" w:rsidRDefault="00FF4BF5" w:rsidP="00FF4BF5">
      <w:pPr>
        <w:numPr>
          <w:ilvl w:val="0"/>
          <w:numId w:val="5"/>
        </w:numPr>
      </w:pPr>
      <w:r w:rsidRPr="00066D35">
        <w:rPr>
          <w:b/>
          <w:bCs/>
        </w:rPr>
        <w:t>Simona</w:t>
      </w:r>
      <w:r w:rsidRPr="00FF4BF5">
        <w:t xml:space="preserve"> agreed that formal education is not required for footballers but highlighted that they undergo extensive training and must demonstrate exceptional ability and </w:t>
      </w:r>
      <w:r w:rsidRPr="00FF4BF5">
        <w:lastRenderedPageBreak/>
        <w:t>sustained performance.</w:t>
      </w:r>
      <w:r w:rsidR="00066D35">
        <w:t xml:space="preserve"> She then questioned the trainees as to whether this indicated that they are part of a profession.</w:t>
      </w:r>
    </w:p>
    <w:p w14:paraId="692E2FE9" w14:textId="77777777" w:rsidR="00FF4BF5" w:rsidRPr="00FF4BF5" w:rsidRDefault="00FF4BF5" w:rsidP="00FF4BF5">
      <w:pPr>
        <w:numPr>
          <w:ilvl w:val="0"/>
          <w:numId w:val="5"/>
        </w:numPr>
      </w:pPr>
      <w:r w:rsidRPr="00FF4BF5">
        <w:t xml:space="preserve">Another </w:t>
      </w:r>
      <w:r w:rsidRPr="00066D35">
        <w:rPr>
          <w:b/>
          <w:bCs/>
        </w:rPr>
        <w:t>trainee</w:t>
      </w:r>
      <w:r w:rsidRPr="00FF4BF5">
        <w:t xml:space="preserve"> argued that professional football should still be considered a profession because it involves specialist training, a lifelong commitment, and a distinct professional identity.</w:t>
      </w:r>
    </w:p>
    <w:p w14:paraId="39671763" w14:textId="2D679232" w:rsidR="00066D35" w:rsidRPr="00796DE5" w:rsidRDefault="00FF4BF5" w:rsidP="00FF4BF5">
      <w:pPr>
        <w:numPr>
          <w:ilvl w:val="0"/>
          <w:numId w:val="5"/>
        </w:numPr>
        <w:rPr>
          <w:b/>
          <w:bCs/>
        </w:rPr>
      </w:pPr>
      <w:r w:rsidRPr="00066D35">
        <w:rPr>
          <w:b/>
          <w:bCs/>
        </w:rPr>
        <w:t xml:space="preserve">Simona </w:t>
      </w:r>
      <w:r w:rsidRPr="00FF4BF5">
        <w:t>drew attention to the idea of “mentality” raised by trainees, explaining that professions often involve a mindset of continuous development and accountability beyond contractual obligations</w:t>
      </w:r>
      <w:r w:rsidRPr="00FF4BF5">
        <w:rPr>
          <w:b/>
          <w:bCs/>
        </w:rPr>
        <w:t>.</w:t>
      </w:r>
    </w:p>
    <w:p w14:paraId="5A7F8D9A" w14:textId="1E464704" w:rsidR="00066D35" w:rsidRPr="00066D35" w:rsidRDefault="00066D35" w:rsidP="00066D35">
      <w:pPr>
        <w:numPr>
          <w:ilvl w:val="0"/>
          <w:numId w:val="5"/>
        </w:numPr>
      </w:pPr>
      <w:r w:rsidRPr="00066D35">
        <w:rPr>
          <w:b/>
          <w:bCs/>
        </w:rPr>
        <w:t>Simona</w:t>
      </w:r>
      <w:r w:rsidRPr="00066D35">
        <w:t xml:space="preserve"> introduced a real-world example involving footballer Luis Suárez, outlining </w:t>
      </w:r>
      <w:r>
        <w:t xml:space="preserve">several </w:t>
      </w:r>
      <w:r w:rsidRPr="00066D35">
        <w:t>incidents of biting opponents and racially abusing players.</w:t>
      </w:r>
    </w:p>
    <w:p w14:paraId="6A6822BC" w14:textId="77777777" w:rsidR="00066D35" w:rsidRPr="00066D35" w:rsidRDefault="00066D35" w:rsidP="00066D35">
      <w:pPr>
        <w:numPr>
          <w:ilvl w:val="0"/>
          <w:numId w:val="5"/>
        </w:numPr>
      </w:pPr>
      <w:r w:rsidRPr="00066D35">
        <w:rPr>
          <w:b/>
          <w:bCs/>
        </w:rPr>
        <w:t>Simona</w:t>
      </w:r>
      <w:r w:rsidRPr="00066D35">
        <w:t xml:space="preserve"> asked trainees to consider what consequences a teacher would face for equivalent behaviour.</w:t>
      </w:r>
    </w:p>
    <w:p w14:paraId="380985AD" w14:textId="77777777" w:rsidR="00066D35" w:rsidRPr="00066D35" w:rsidRDefault="00066D35" w:rsidP="00066D35">
      <w:pPr>
        <w:numPr>
          <w:ilvl w:val="0"/>
          <w:numId w:val="5"/>
        </w:numPr>
      </w:pPr>
      <w:r w:rsidRPr="00066D35">
        <w:rPr>
          <w:b/>
          <w:bCs/>
        </w:rPr>
        <w:t>A trainee</w:t>
      </w:r>
      <w:r w:rsidRPr="00066D35">
        <w:t xml:space="preserve"> explained that such behaviour by a teacher would likely result in immediate dismissal, potential criminal charges, and a permanent inability to work with children.</w:t>
      </w:r>
    </w:p>
    <w:p w14:paraId="605A0F98" w14:textId="77777777" w:rsidR="00066D35" w:rsidRPr="00066D35" w:rsidRDefault="00066D35" w:rsidP="00066D35">
      <w:pPr>
        <w:numPr>
          <w:ilvl w:val="0"/>
          <w:numId w:val="5"/>
        </w:numPr>
      </w:pPr>
      <w:r w:rsidRPr="00066D35">
        <w:rPr>
          <w:b/>
          <w:bCs/>
        </w:rPr>
        <w:t>Simona</w:t>
      </w:r>
      <w:r w:rsidRPr="00066D35">
        <w:t xml:space="preserve"> confirmed this, explaining that such actions would constitute serious safeguarding breaches and criminal offences.</w:t>
      </w:r>
    </w:p>
    <w:p w14:paraId="7A151A93" w14:textId="77777777" w:rsidR="00066D35" w:rsidRPr="00066D35" w:rsidRDefault="00066D35" w:rsidP="00066D35">
      <w:pPr>
        <w:numPr>
          <w:ilvl w:val="0"/>
          <w:numId w:val="5"/>
        </w:numPr>
      </w:pPr>
      <w:r w:rsidRPr="00066D35">
        <w:rPr>
          <w:b/>
          <w:bCs/>
        </w:rPr>
        <w:t xml:space="preserve">Simona </w:t>
      </w:r>
      <w:r w:rsidRPr="00066D35">
        <w:t>then asked trainees to reflect on why professional footballers and teachers face such different consequences for similar actions.</w:t>
      </w:r>
    </w:p>
    <w:p w14:paraId="16A969DF" w14:textId="77777777" w:rsidR="00066D35" w:rsidRPr="00066D35" w:rsidRDefault="00066D35" w:rsidP="00066D35">
      <w:pPr>
        <w:numPr>
          <w:ilvl w:val="0"/>
          <w:numId w:val="5"/>
        </w:numPr>
      </w:pPr>
      <w:r w:rsidRPr="00066D35">
        <w:rPr>
          <w:b/>
          <w:bCs/>
        </w:rPr>
        <w:t>A trainee</w:t>
      </w:r>
      <w:r w:rsidRPr="00066D35">
        <w:t xml:space="preserve"> suggested that footballers may be treated more leniently because they are seen as irreplaceable due to their unique skills.</w:t>
      </w:r>
    </w:p>
    <w:p w14:paraId="7C4F5C36" w14:textId="77777777" w:rsidR="00066D35" w:rsidRPr="00066D35" w:rsidRDefault="00066D35" w:rsidP="00066D35">
      <w:pPr>
        <w:numPr>
          <w:ilvl w:val="0"/>
          <w:numId w:val="5"/>
        </w:numPr>
      </w:pPr>
      <w:r w:rsidRPr="00066D35">
        <w:rPr>
          <w:b/>
          <w:bCs/>
        </w:rPr>
        <w:t xml:space="preserve">Simona </w:t>
      </w:r>
      <w:r w:rsidRPr="00066D35">
        <w:t>acknowledged this perspective but encouraged trainees to think more deeply about who the recipients of each profession’s service are.</w:t>
      </w:r>
    </w:p>
    <w:p w14:paraId="0B917968" w14:textId="77777777" w:rsidR="00066D35" w:rsidRPr="00066D35" w:rsidRDefault="00066D35" w:rsidP="00066D35">
      <w:pPr>
        <w:numPr>
          <w:ilvl w:val="0"/>
          <w:numId w:val="5"/>
        </w:numPr>
      </w:pPr>
      <w:r w:rsidRPr="00066D35">
        <w:rPr>
          <w:b/>
          <w:bCs/>
        </w:rPr>
        <w:t>A trainee</w:t>
      </w:r>
      <w:r w:rsidRPr="00066D35">
        <w:t xml:space="preserve"> explained that teachers work directly with children, making safeguarding central to the role, whereas footballers primarily provide entertainment to spectators.</w:t>
      </w:r>
    </w:p>
    <w:p w14:paraId="4A6B9338" w14:textId="77777777" w:rsidR="00FF4BF5" w:rsidRPr="00FF4BF5" w:rsidRDefault="00FF4BF5" w:rsidP="00FF4BF5">
      <w:pPr>
        <w:numPr>
          <w:ilvl w:val="0"/>
          <w:numId w:val="8"/>
        </w:numPr>
      </w:pPr>
      <w:r w:rsidRPr="00FF4BF5">
        <w:rPr>
          <w:b/>
          <w:bCs/>
        </w:rPr>
        <w:t>Simona</w:t>
      </w:r>
      <w:r w:rsidRPr="00FF4BF5">
        <w:t xml:space="preserve"> expanded this by identifying parents, carers, colleagues, school leadership, governors, and external organisations as stakeholders affected by teacher conduct.</w:t>
      </w:r>
    </w:p>
    <w:p w14:paraId="1BFB9659" w14:textId="77777777" w:rsidR="00FF4BF5" w:rsidRPr="00FF4BF5" w:rsidRDefault="00FF4BF5" w:rsidP="00FF4BF5">
      <w:pPr>
        <w:numPr>
          <w:ilvl w:val="0"/>
          <w:numId w:val="8"/>
        </w:numPr>
      </w:pPr>
      <w:r w:rsidRPr="00FF4BF5">
        <w:rPr>
          <w:b/>
          <w:bCs/>
        </w:rPr>
        <w:lastRenderedPageBreak/>
        <w:t>Simona</w:t>
      </w:r>
      <w:r w:rsidRPr="00FF4BF5">
        <w:t xml:space="preserve"> used the example of a school trip to explain how teachers represent their school and profession even outside the classroom.</w:t>
      </w:r>
    </w:p>
    <w:p w14:paraId="508FDC6B" w14:textId="05625EFC" w:rsidR="00066D35" w:rsidRPr="00066D35" w:rsidRDefault="00FF4BF5" w:rsidP="00066D35">
      <w:pPr>
        <w:numPr>
          <w:ilvl w:val="0"/>
          <w:numId w:val="8"/>
        </w:numPr>
      </w:pPr>
      <w:r w:rsidRPr="00FF4BF5">
        <w:rPr>
          <w:b/>
          <w:bCs/>
        </w:rPr>
        <w:t>A trainee</w:t>
      </w:r>
      <w:r w:rsidRPr="00FF4BF5">
        <w:t xml:space="preserve"> explained that failing to challenge poor behaviour on a trip would constitute avoiding professional responsibilities.</w:t>
      </w:r>
    </w:p>
    <w:p w14:paraId="75F80B6C" w14:textId="6AEA080F" w:rsidR="00FF4BF5" w:rsidRPr="00924A7B" w:rsidRDefault="00066D35" w:rsidP="00924A7B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066D35">
        <w:rPr>
          <w:b/>
          <w:bCs/>
        </w:rPr>
        <w:t>Simona</w:t>
      </w:r>
      <w:r w:rsidRPr="00066D35">
        <w:t xml:space="preserve"> emphasised that teachers are trusted with the safety, development, and wellbeing of children, which fundamentally changes</w:t>
      </w:r>
      <w:r w:rsidRPr="00066D35">
        <w:rPr>
          <w:rFonts w:eastAsia="Times New Roman" w:cs="Times New Roman"/>
          <w:kern w:val="0"/>
          <w14:ligatures w14:val="none"/>
        </w:rPr>
        <w:t xml:space="preserve"> the expectations placed on their conduct</w:t>
      </w:r>
      <w:r>
        <w:rPr>
          <w:rFonts w:eastAsia="Times New Roman" w:cs="Times New Roman"/>
          <w:kern w:val="0"/>
          <w14:ligatures w14:val="none"/>
        </w:rPr>
        <w:t xml:space="preserve"> by </w:t>
      </w:r>
      <w:proofErr w:type="gramStart"/>
      <w:r>
        <w:rPr>
          <w:rFonts w:eastAsia="Times New Roman" w:cs="Times New Roman"/>
          <w:kern w:val="0"/>
          <w14:ligatures w14:val="none"/>
        </w:rPr>
        <w:t>society as a whole</w:t>
      </w:r>
      <w:proofErr w:type="gramEnd"/>
      <w:r w:rsidRPr="00066D35">
        <w:rPr>
          <w:rFonts w:eastAsia="Times New Roman" w:cs="Times New Roman"/>
          <w:kern w:val="0"/>
          <w14:ligatures w14:val="none"/>
        </w:rPr>
        <w:t>.</w:t>
      </w:r>
    </w:p>
    <w:p w14:paraId="488265C8" w14:textId="77777777" w:rsidR="00FF4BF5" w:rsidRPr="00FF4BF5" w:rsidRDefault="00FF4BF5" w:rsidP="00FF4BF5">
      <w:pPr>
        <w:numPr>
          <w:ilvl w:val="0"/>
          <w:numId w:val="9"/>
        </w:numPr>
      </w:pPr>
      <w:r w:rsidRPr="00FF4BF5">
        <w:rPr>
          <w:b/>
          <w:bCs/>
        </w:rPr>
        <w:t>Simona</w:t>
      </w:r>
      <w:r w:rsidRPr="00FF4BF5">
        <w:t xml:space="preserve"> explained that teachers shape pupils not only academically but morally and socially.</w:t>
      </w:r>
    </w:p>
    <w:p w14:paraId="4D878F09" w14:textId="203CB821" w:rsidR="00FF4BF5" w:rsidRPr="00FF4BF5" w:rsidRDefault="00FF4BF5" w:rsidP="00FF4BF5">
      <w:pPr>
        <w:numPr>
          <w:ilvl w:val="0"/>
          <w:numId w:val="9"/>
        </w:numPr>
      </w:pPr>
      <w:r w:rsidRPr="00FF4BF5">
        <w:rPr>
          <w:b/>
          <w:bCs/>
        </w:rPr>
        <w:t>Simona</w:t>
      </w:r>
      <w:r w:rsidRPr="00FF4BF5">
        <w:t xml:space="preserve"> shared an anecdote about a man </w:t>
      </w:r>
      <w:r w:rsidR="00924A7B">
        <w:t xml:space="preserve">who called in on the radio </w:t>
      </w:r>
      <w:r w:rsidRPr="00FF4BF5">
        <w:t>whose teachers</w:t>
      </w:r>
      <w:r w:rsidR="00924A7B">
        <w:t xml:space="preserve"> during his childhood in the 1980’s or 1990’s</w:t>
      </w:r>
      <w:r w:rsidRPr="00FF4BF5">
        <w:t xml:space="preserve"> labelled him</w:t>
      </w:r>
      <w:r w:rsidR="00924A7B">
        <w:t xml:space="preserve"> as</w:t>
      </w:r>
      <w:r w:rsidRPr="00FF4BF5">
        <w:t xml:space="preserve"> “stupid” due to</w:t>
      </w:r>
      <w:r w:rsidR="00924A7B">
        <w:t xml:space="preserve"> his</w:t>
      </w:r>
      <w:r w:rsidRPr="00FF4BF5">
        <w:t xml:space="preserve"> dyslexia, which had lifelong consequences for his confidence</w:t>
      </w:r>
      <w:r w:rsidR="00924A7B">
        <w:t xml:space="preserve"> and view on </w:t>
      </w:r>
      <w:proofErr w:type="gramStart"/>
      <w:r w:rsidR="00924A7B">
        <w:t>education as a whole</w:t>
      </w:r>
      <w:proofErr w:type="gramEnd"/>
      <w:r w:rsidRPr="00FF4BF5">
        <w:t>.</w:t>
      </w:r>
    </w:p>
    <w:p w14:paraId="2E6C41C1" w14:textId="6D770D67" w:rsidR="00FF4BF5" w:rsidRPr="00FF4BF5" w:rsidRDefault="00924A7B" w:rsidP="00924A7B">
      <w:pPr>
        <w:pStyle w:val="ListParagraph"/>
        <w:numPr>
          <w:ilvl w:val="0"/>
          <w:numId w:val="9"/>
        </w:numPr>
      </w:pPr>
      <w:r w:rsidRPr="00924A7B">
        <w:rPr>
          <w:b/>
          <w:bCs/>
        </w:rPr>
        <w:t xml:space="preserve">Simona </w:t>
      </w:r>
      <w:r w:rsidRPr="00924A7B">
        <w:t xml:space="preserve">highlighted that even small actions - such as tone of voice or facial expressions (for example, </w:t>
      </w:r>
      <w:proofErr w:type="gramStart"/>
      <w:r w:rsidRPr="00924A7B">
        <w:t>eye-rolling</w:t>
      </w:r>
      <w:proofErr w:type="gramEnd"/>
      <w:r w:rsidRPr="00924A7B">
        <w:t>) - can have long-term impacts on pupils.</w:t>
      </w:r>
      <w:r w:rsidR="00000000">
        <w:pict w14:anchorId="657EB7EB">
          <v:rect id="_x0000_i1032" style="width:0;height:1.5pt" o:hralign="center" o:hrstd="t" o:hr="t" fillcolor="#a0a0a0" stroked="f"/>
        </w:pict>
      </w:r>
    </w:p>
    <w:p w14:paraId="0A23444F" w14:textId="77777777" w:rsidR="00FF4BF5" w:rsidRDefault="00FF4BF5" w:rsidP="00FF4BF5">
      <w:pPr>
        <w:rPr>
          <w:b/>
          <w:bCs/>
        </w:rPr>
      </w:pPr>
      <w:r w:rsidRPr="00FF4BF5">
        <w:rPr>
          <w:b/>
          <w:bCs/>
        </w:rPr>
        <w:t>Legal, Ethical, and Moral Framework (Alan Newland)</w:t>
      </w:r>
    </w:p>
    <w:p w14:paraId="5CC18BD4" w14:textId="5C7B66AB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Simona</w:t>
      </w:r>
      <w:r w:rsidRPr="00924A7B">
        <w:rPr>
          <w:rFonts w:eastAsia="Times New Roman" w:cs="Times New Roman"/>
          <w:kern w:val="0"/>
          <w14:ligatures w14:val="none"/>
        </w:rPr>
        <w:t xml:space="preserve"> introduced the second Nearpod corkboard activity by asking trainees to reflect on the list of professional non-negotiables provided in their workbook.</w:t>
      </w:r>
      <w:r>
        <w:rPr>
          <w:rFonts w:eastAsia="Times New Roman" w:cs="Times New Roman"/>
          <w:kern w:val="0"/>
          <w14:ligatures w14:val="none"/>
        </w:rPr>
        <w:br/>
      </w:r>
    </w:p>
    <w:p w14:paraId="081E383C" w14:textId="051E9766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Simona</w:t>
      </w:r>
      <w:r w:rsidRPr="00924A7B">
        <w:rPr>
          <w:rFonts w:eastAsia="Times New Roman" w:cs="Times New Roman"/>
          <w:kern w:val="0"/>
          <w14:ligatures w14:val="none"/>
        </w:rPr>
        <w:t xml:space="preserve"> asked trainees to consider whether all non-negotiables are equally important, or whether some are more fundamental than others, and to explain their reasoning.</w:t>
      </w:r>
      <w:r>
        <w:rPr>
          <w:rFonts w:eastAsia="Times New Roman" w:cs="Times New Roman"/>
          <w:kern w:val="0"/>
          <w14:ligatures w14:val="none"/>
        </w:rPr>
        <w:br/>
      </w:r>
    </w:p>
    <w:p w14:paraId="0A5FFEB6" w14:textId="01A2DF67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Trainees</w:t>
      </w:r>
      <w:r w:rsidRPr="00924A7B">
        <w:rPr>
          <w:rFonts w:eastAsia="Times New Roman" w:cs="Times New Roman"/>
          <w:kern w:val="0"/>
          <w14:ligatures w14:val="none"/>
        </w:rPr>
        <w:t xml:space="preserve"> submitted responses that showed a range of perspectives, with some arguing that all non-negotiables are equally important, while others felt safeguarding-related expectations should take priority.</w:t>
      </w:r>
      <w:r>
        <w:rPr>
          <w:rFonts w:eastAsia="Times New Roman" w:cs="Times New Roman"/>
          <w:kern w:val="0"/>
          <w14:ligatures w14:val="none"/>
        </w:rPr>
        <w:br/>
      </w:r>
    </w:p>
    <w:p w14:paraId="1FBB4657" w14:textId="6061207F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Simona</w:t>
      </w:r>
      <w:r w:rsidRPr="00924A7B">
        <w:rPr>
          <w:rFonts w:eastAsia="Times New Roman" w:cs="Times New Roman"/>
          <w:kern w:val="0"/>
          <w14:ligatures w14:val="none"/>
        </w:rPr>
        <w:t xml:space="preserve"> noted that there was no single correct answer and that the purpose of the activity was to develop professional judgement rather than reach consensus.</w:t>
      </w:r>
      <w:r>
        <w:rPr>
          <w:rFonts w:eastAsia="Times New Roman" w:cs="Times New Roman"/>
          <w:kern w:val="0"/>
          <w14:ligatures w14:val="none"/>
        </w:rPr>
        <w:br/>
      </w:r>
    </w:p>
    <w:p w14:paraId="6E863040" w14:textId="09289D2E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lastRenderedPageBreak/>
        <w:t>A trainee</w:t>
      </w:r>
      <w:r w:rsidRPr="00924A7B">
        <w:rPr>
          <w:rFonts w:eastAsia="Times New Roman" w:cs="Times New Roman"/>
          <w:kern w:val="0"/>
          <w14:ligatures w14:val="none"/>
        </w:rPr>
        <w:t xml:space="preserve"> explained that behaviours such as punctuality, politeness, and professional presentation are essential because teachers model expectations for pupils.</w:t>
      </w:r>
      <w:r>
        <w:rPr>
          <w:rFonts w:eastAsia="Times New Roman" w:cs="Times New Roman"/>
          <w:kern w:val="0"/>
          <w14:ligatures w14:val="none"/>
        </w:rPr>
        <w:br/>
      </w:r>
    </w:p>
    <w:p w14:paraId="2CF5ED61" w14:textId="7622A202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Another trainee</w:t>
      </w:r>
      <w:r w:rsidRPr="00924A7B">
        <w:rPr>
          <w:rFonts w:eastAsia="Times New Roman" w:cs="Times New Roman"/>
          <w:kern w:val="0"/>
          <w14:ligatures w14:val="none"/>
        </w:rPr>
        <w:t xml:space="preserve"> highlighted that some expectations, such as social engagement with colleagues, may be more challenging for individuals but still contribute to professional wellbeing and effective teamwork.</w:t>
      </w:r>
      <w:r>
        <w:rPr>
          <w:rFonts w:eastAsia="Times New Roman" w:cs="Times New Roman"/>
          <w:kern w:val="0"/>
          <w14:ligatures w14:val="none"/>
        </w:rPr>
        <w:br/>
      </w:r>
    </w:p>
    <w:p w14:paraId="12893F09" w14:textId="6778CF5A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Simona</w:t>
      </w:r>
      <w:r w:rsidRPr="00924A7B">
        <w:rPr>
          <w:rFonts w:eastAsia="Times New Roman" w:cs="Times New Roman"/>
          <w:kern w:val="0"/>
          <w14:ligatures w14:val="none"/>
        </w:rPr>
        <w:t xml:space="preserve"> introduced Alan Newland’s framework, explaining that professional conduct can be understood through three lenses: legal, ethical, and moral.</w:t>
      </w:r>
    </w:p>
    <w:p w14:paraId="56D044FF" w14:textId="77777777" w:rsidR="00796DE5" w:rsidRPr="00796DE5" w:rsidRDefault="00924A7B" w:rsidP="00924A7B">
      <w:pPr>
        <w:numPr>
          <w:ilvl w:val="0"/>
          <w:numId w:val="10"/>
        </w:num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Simona</w:t>
      </w:r>
      <w:r w:rsidRPr="00924A7B">
        <w:rPr>
          <w:rFonts w:eastAsia="Times New Roman" w:cs="Times New Roman"/>
          <w:kern w:val="0"/>
          <w14:ligatures w14:val="none"/>
        </w:rPr>
        <w:t xml:space="preserve"> clarified that legal responsibilities are defined by law and are non-negotiable, ethical responsibilities are defined by professional standards and school policies, and moral responsibilities are shaped by personal values and beliefs.</w:t>
      </w:r>
    </w:p>
    <w:p w14:paraId="1C87A9BB" w14:textId="21BC7B3B" w:rsidR="00924A7B" w:rsidRPr="00FF4BF5" w:rsidRDefault="00924A7B" w:rsidP="00924A7B">
      <w:pPr>
        <w:numPr>
          <w:ilvl w:val="0"/>
          <w:numId w:val="10"/>
        </w:numPr>
      </w:pPr>
      <w:r w:rsidRPr="00FF4BF5">
        <w:rPr>
          <w:b/>
          <w:bCs/>
        </w:rPr>
        <w:t>Simona</w:t>
      </w:r>
      <w:r w:rsidRPr="00FF4BF5">
        <w:t xml:space="preserve"> shared Newland’s pub example, where a parent criticised him </w:t>
      </w:r>
      <w:r>
        <w:t xml:space="preserve">after spotting him </w:t>
      </w:r>
      <w:r w:rsidRPr="00FF4BF5">
        <w:t>drinking socially</w:t>
      </w:r>
      <w:r>
        <w:t xml:space="preserve"> on a weekend</w:t>
      </w:r>
      <w:r w:rsidRPr="00FF4BF5">
        <w:t>.</w:t>
      </w:r>
    </w:p>
    <w:p w14:paraId="3643EEB2" w14:textId="3DA1E861" w:rsidR="00924A7B" w:rsidRPr="00924A7B" w:rsidRDefault="00924A7B" w:rsidP="00924A7B">
      <w:pPr>
        <w:numPr>
          <w:ilvl w:val="0"/>
          <w:numId w:val="10"/>
        </w:numPr>
      </w:pPr>
      <w:r w:rsidRPr="00FF4BF5">
        <w:rPr>
          <w:b/>
          <w:bCs/>
        </w:rPr>
        <w:t>Simona</w:t>
      </w:r>
      <w:r w:rsidRPr="00FF4BF5">
        <w:t xml:space="preserve"> explained that this behaviour was legal and ethical, but </w:t>
      </w:r>
      <w:r>
        <w:t xml:space="preserve">could be </w:t>
      </w:r>
      <w:r w:rsidRPr="00FF4BF5">
        <w:t>morally contested, demonstrating the grey areas teachers must navigate.</w:t>
      </w:r>
    </w:p>
    <w:p w14:paraId="672905DE" w14:textId="71A233A3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Simona</w:t>
      </w:r>
      <w:r w:rsidRPr="00924A7B">
        <w:rPr>
          <w:rFonts w:eastAsia="Times New Roman" w:cs="Times New Roman"/>
          <w:kern w:val="0"/>
          <w14:ligatures w14:val="none"/>
        </w:rPr>
        <w:t xml:space="preserve"> asked trainees to identify examples of legal responsibilities from the non-negotiables list.</w:t>
      </w:r>
      <w:r>
        <w:rPr>
          <w:rFonts w:eastAsia="Times New Roman" w:cs="Times New Roman"/>
          <w:kern w:val="0"/>
          <w14:ligatures w14:val="none"/>
        </w:rPr>
        <w:br/>
      </w:r>
    </w:p>
    <w:p w14:paraId="2BD3025F" w14:textId="075CB7AB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A trainee</w:t>
      </w:r>
      <w:r w:rsidRPr="00924A7B">
        <w:rPr>
          <w:rFonts w:eastAsia="Times New Roman" w:cs="Times New Roman"/>
          <w:kern w:val="0"/>
          <w14:ligatures w14:val="none"/>
        </w:rPr>
        <w:t xml:space="preserve"> identified establishing boundaries with pupils as a legal responsibility due to safeguarding legislation</w:t>
      </w:r>
      <w:r>
        <w:rPr>
          <w:rFonts w:eastAsia="Times New Roman" w:cs="Times New Roman"/>
          <w:kern w:val="0"/>
          <w14:ligatures w14:val="none"/>
        </w:rPr>
        <w:br/>
      </w:r>
      <w:r w:rsidRPr="00924A7B">
        <w:rPr>
          <w:rFonts w:eastAsia="Times New Roman" w:cs="Times New Roman"/>
          <w:kern w:val="0"/>
          <w14:ligatures w14:val="none"/>
        </w:rPr>
        <w:t>.</w:t>
      </w:r>
    </w:p>
    <w:p w14:paraId="590EBF7E" w14:textId="76A3E1D5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Simona</w:t>
      </w:r>
      <w:r w:rsidRPr="00924A7B">
        <w:rPr>
          <w:rFonts w:eastAsia="Times New Roman" w:cs="Times New Roman"/>
          <w:kern w:val="0"/>
          <w14:ligatures w14:val="none"/>
        </w:rPr>
        <w:t xml:space="preserve"> confirmed this and linked it to statutory guidance such as </w:t>
      </w:r>
      <w:r w:rsidRPr="00924A7B">
        <w:rPr>
          <w:rFonts w:eastAsia="Times New Roman" w:cs="Times New Roman"/>
          <w:i/>
          <w:iCs/>
          <w:kern w:val="0"/>
          <w14:ligatures w14:val="none"/>
        </w:rPr>
        <w:t>Keeping Children Safe in Education</w:t>
      </w:r>
      <w:r w:rsidRPr="00924A7B">
        <w:rPr>
          <w:rFonts w:eastAsia="Times New Roman" w:cs="Times New Roman"/>
          <w:kern w:val="0"/>
          <w14:ligatures w14:val="none"/>
        </w:rPr>
        <w:t>.</w:t>
      </w:r>
      <w:r>
        <w:rPr>
          <w:rFonts w:eastAsia="Times New Roman" w:cs="Times New Roman"/>
          <w:kern w:val="0"/>
          <w14:ligatures w14:val="none"/>
        </w:rPr>
        <w:br/>
      </w:r>
    </w:p>
    <w:p w14:paraId="25D51B78" w14:textId="26A3BEF3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Simona</w:t>
      </w:r>
      <w:r w:rsidRPr="00924A7B">
        <w:rPr>
          <w:rFonts w:eastAsia="Times New Roman" w:cs="Times New Roman"/>
          <w:kern w:val="0"/>
          <w14:ligatures w14:val="none"/>
        </w:rPr>
        <w:t xml:space="preserve"> posed a scenario involving teachers posting images of themselves in bikinis or underwear online and asked whether this was a legal, ethical, or moral issue.</w:t>
      </w:r>
      <w:r>
        <w:rPr>
          <w:rFonts w:eastAsia="Times New Roman" w:cs="Times New Roman"/>
          <w:kern w:val="0"/>
          <w14:ligatures w14:val="none"/>
        </w:rPr>
        <w:br/>
      </w:r>
    </w:p>
    <w:p w14:paraId="7B8B8423" w14:textId="081B9EB2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A trainee</w:t>
      </w:r>
      <w:r w:rsidRPr="00924A7B">
        <w:rPr>
          <w:rFonts w:eastAsia="Times New Roman" w:cs="Times New Roman"/>
          <w:kern w:val="0"/>
          <w14:ligatures w14:val="none"/>
        </w:rPr>
        <w:t xml:space="preserve"> initially categorised this as ethical.</w:t>
      </w:r>
      <w:r>
        <w:rPr>
          <w:rFonts w:eastAsia="Times New Roman" w:cs="Times New Roman"/>
          <w:kern w:val="0"/>
          <w14:ligatures w14:val="none"/>
        </w:rPr>
        <w:br/>
      </w:r>
    </w:p>
    <w:p w14:paraId="32591FBD" w14:textId="72E1312A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Simona</w:t>
      </w:r>
      <w:r w:rsidRPr="00924A7B">
        <w:rPr>
          <w:rFonts w:eastAsia="Times New Roman" w:cs="Times New Roman"/>
          <w:kern w:val="0"/>
          <w14:ligatures w14:val="none"/>
        </w:rPr>
        <w:t xml:space="preserve"> explained that, in most cases, this falls under moral rather than ethical responsibility, as schools have limited authority over teachers’ lawful private lives. </w:t>
      </w:r>
      <w:r>
        <w:rPr>
          <w:rFonts w:eastAsia="Times New Roman" w:cs="Times New Roman"/>
          <w:kern w:val="0"/>
          <w14:ligatures w14:val="none"/>
        </w:rPr>
        <w:br/>
      </w:r>
    </w:p>
    <w:p w14:paraId="7008558B" w14:textId="4427FDA3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lastRenderedPageBreak/>
        <w:t>Simona</w:t>
      </w:r>
      <w:r w:rsidRPr="00924A7B">
        <w:rPr>
          <w:rFonts w:eastAsia="Times New Roman" w:cs="Times New Roman"/>
          <w:kern w:val="0"/>
          <w14:ligatures w14:val="none"/>
        </w:rPr>
        <w:t xml:space="preserve"> shared a case study of a teacher whose pupils found old holiday photos on social media of her in a bikini, leading to her distress and a loss of professional confidence.</w:t>
      </w:r>
      <w:r>
        <w:rPr>
          <w:rFonts w:eastAsia="Times New Roman" w:cs="Times New Roman"/>
          <w:kern w:val="0"/>
          <w14:ligatures w14:val="none"/>
        </w:rPr>
        <w:br/>
      </w:r>
    </w:p>
    <w:p w14:paraId="6FBD8A4D" w14:textId="4D3A26EA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Simona</w:t>
      </w:r>
      <w:r w:rsidRPr="00924A7B">
        <w:rPr>
          <w:rFonts w:eastAsia="Times New Roman" w:cs="Times New Roman"/>
          <w:kern w:val="0"/>
          <w14:ligatures w14:val="none"/>
        </w:rPr>
        <w:t xml:space="preserve"> used this example to highlight how moral decisions, while not illegal or unethical, can still significantly impact professional identity and wellbeing.</w:t>
      </w:r>
      <w:r>
        <w:rPr>
          <w:rFonts w:eastAsia="Times New Roman" w:cs="Times New Roman"/>
          <w:kern w:val="0"/>
          <w14:ligatures w14:val="none"/>
        </w:rPr>
        <w:br/>
      </w:r>
    </w:p>
    <w:p w14:paraId="6012F689" w14:textId="4AF3AA89" w:rsidR="00924A7B" w:rsidRPr="00924A7B" w:rsidRDefault="00924A7B" w:rsidP="00924A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Simona</w:t>
      </w:r>
      <w:r w:rsidRPr="00924A7B">
        <w:rPr>
          <w:rFonts w:eastAsia="Times New Roman" w:cs="Times New Roman"/>
          <w:kern w:val="0"/>
          <w14:ligatures w14:val="none"/>
        </w:rPr>
        <w:t xml:space="preserve"> concluded the activity by explaining that applying the legal–ethical–moral framework can help teachers navigate complex or uncomfortable situations.</w:t>
      </w:r>
      <w:r>
        <w:rPr>
          <w:rFonts w:eastAsia="Times New Roman" w:cs="Times New Roman"/>
          <w:kern w:val="0"/>
          <w14:ligatures w14:val="none"/>
        </w:rPr>
        <w:br/>
      </w:r>
    </w:p>
    <w:p w14:paraId="4740DC29" w14:textId="33654881" w:rsidR="00FF4BF5" w:rsidRPr="00796DE5" w:rsidRDefault="00924A7B" w:rsidP="00FF4B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4A7B">
        <w:rPr>
          <w:rFonts w:eastAsia="Times New Roman" w:cs="Times New Roman"/>
          <w:b/>
          <w:bCs/>
          <w:kern w:val="0"/>
          <w14:ligatures w14:val="none"/>
        </w:rPr>
        <w:t>Simona</w:t>
      </w:r>
      <w:r w:rsidRPr="00924A7B">
        <w:rPr>
          <w:rFonts w:eastAsia="Times New Roman" w:cs="Times New Roman"/>
          <w:kern w:val="0"/>
          <w14:ligatures w14:val="none"/>
        </w:rPr>
        <w:t xml:space="preserve"> encouraged trainees to seek guidance from senior leaders or the training team whenever they feel unsure, reinforcing that professional judgement develops over time.</w:t>
      </w:r>
    </w:p>
    <w:p w14:paraId="3E7998D1" w14:textId="1D6DA81A" w:rsidR="00FF4BF5" w:rsidRDefault="00924A7B" w:rsidP="00924A7B">
      <w:pPr>
        <w:pStyle w:val="ListParagraph"/>
        <w:numPr>
          <w:ilvl w:val="0"/>
          <w:numId w:val="17"/>
        </w:numPr>
      </w:pPr>
      <w:r w:rsidRPr="00924A7B">
        <w:rPr>
          <w:rFonts w:eastAsia="Times New Roman" w:cs="Times New Roman"/>
          <w:b/>
          <w:bCs/>
          <w:kern w:val="0"/>
          <w14:ligatures w14:val="none"/>
        </w:rPr>
        <w:t xml:space="preserve">Simona </w:t>
      </w:r>
      <w:r w:rsidRPr="00924A7B">
        <w:rPr>
          <w:rFonts w:eastAsia="Times New Roman" w:cs="Times New Roman"/>
          <w:kern w:val="0"/>
          <w14:ligatures w14:val="none"/>
        </w:rPr>
        <w:t xml:space="preserve">concluded the session by asking trainees to </w:t>
      </w:r>
      <w:r>
        <w:rPr>
          <w:rFonts w:eastAsia="Times New Roman" w:cs="Times New Roman"/>
          <w:kern w:val="0"/>
          <w14:ligatures w14:val="none"/>
        </w:rPr>
        <w:t>complete their Feedback Forms.</w:t>
      </w:r>
    </w:p>
    <w:sectPr w:rsidR="00FF4BF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653E" w14:textId="77777777" w:rsidR="004D559E" w:rsidRDefault="004D559E" w:rsidP="00F069C5">
      <w:pPr>
        <w:spacing w:after="0" w:line="240" w:lineRule="auto"/>
      </w:pPr>
      <w:r>
        <w:separator/>
      </w:r>
    </w:p>
  </w:endnote>
  <w:endnote w:type="continuationSeparator" w:id="0">
    <w:p w14:paraId="03992591" w14:textId="77777777" w:rsidR="004D559E" w:rsidRDefault="004D559E" w:rsidP="00F0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54FA" w14:textId="77777777" w:rsidR="004D559E" w:rsidRDefault="004D559E" w:rsidP="00F069C5">
      <w:pPr>
        <w:spacing w:after="0" w:line="240" w:lineRule="auto"/>
      </w:pPr>
      <w:r>
        <w:separator/>
      </w:r>
    </w:p>
  </w:footnote>
  <w:footnote w:type="continuationSeparator" w:id="0">
    <w:p w14:paraId="62C9C278" w14:textId="77777777" w:rsidR="004D559E" w:rsidRDefault="004D559E" w:rsidP="00F0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D2E5" w14:textId="27367C98" w:rsidR="00F069C5" w:rsidRDefault="00F069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56A078" wp14:editId="3B2A82BD">
          <wp:simplePos x="0" y="0"/>
          <wp:positionH relativeFrom="column">
            <wp:posOffset>-946150</wp:posOffset>
          </wp:positionH>
          <wp:positionV relativeFrom="paragraph">
            <wp:posOffset>-468630</wp:posOffset>
          </wp:positionV>
          <wp:extent cx="7791450" cy="158940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58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1125"/>
    <w:multiLevelType w:val="multilevel"/>
    <w:tmpl w:val="BB36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14424"/>
    <w:multiLevelType w:val="multilevel"/>
    <w:tmpl w:val="CA06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858E2"/>
    <w:multiLevelType w:val="multilevel"/>
    <w:tmpl w:val="1E50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97032"/>
    <w:multiLevelType w:val="multilevel"/>
    <w:tmpl w:val="621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0261F"/>
    <w:multiLevelType w:val="multilevel"/>
    <w:tmpl w:val="43EE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70831"/>
    <w:multiLevelType w:val="multilevel"/>
    <w:tmpl w:val="E1AC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33DCD"/>
    <w:multiLevelType w:val="multilevel"/>
    <w:tmpl w:val="621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B13AB"/>
    <w:multiLevelType w:val="multilevel"/>
    <w:tmpl w:val="59B2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872A5"/>
    <w:multiLevelType w:val="multilevel"/>
    <w:tmpl w:val="F926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F48F6"/>
    <w:multiLevelType w:val="multilevel"/>
    <w:tmpl w:val="7714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810D5"/>
    <w:multiLevelType w:val="multilevel"/>
    <w:tmpl w:val="FFC4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351E5"/>
    <w:multiLevelType w:val="multilevel"/>
    <w:tmpl w:val="2018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C46546"/>
    <w:multiLevelType w:val="multilevel"/>
    <w:tmpl w:val="D11A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45280F"/>
    <w:multiLevelType w:val="multilevel"/>
    <w:tmpl w:val="2260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5519B"/>
    <w:multiLevelType w:val="multilevel"/>
    <w:tmpl w:val="C33C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570AD"/>
    <w:multiLevelType w:val="multilevel"/>
    <w:tmpl w:val="C6BE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B927CB"/>
    <w:multiLevelType w:val="multilevel"/>
    <w:tmpl w:val="2504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020341">
    <w:abstractNumId w:val="1"/>
  </w:num>
  <w:num w:numId="2" w16cid:durableId="929316801">
    <w:abstractNumId w:val="5"/>
  </w:num>
  <w:num w:numId="3" w16cid:durableId="1784377550">
    <w:abstractNumId w:val="0"/>
  </w:num>
  <w:num w:numId="4" w16cid:durableId="1056392199">
    <w:abstractNumId w:val="11"/>
  </w:num>
  <w:num w:numId="5" w16cid:durableId="2137478948">
    <w:abstractNumId w:val="15"/>
  </w:num>
  <w:num w:numId="6" w16cid:durableId="1208223137">
    <w:abstractNumId w:val="10"/>
  </w:num>
  <w:num w:numId="7" w16cid:durableId="592859405">
    <w:abstractNumId w:val="2"/>
  </w:num>
  <w:num w:numId="8" w16cid:durableId="1965845759">
    <w:abstractNumId w:val="4"/>
  </w:num>
  <w:num w:numId="9" w16cid:durableId="1398746974">
    <w:abstractNumId w:val="6"/>
  </w:num>
  <w:num w:numId="10" w16cid:durableId="654646439">
    <w:abstractNumId w:val="9"/>
  </w:num>
  <w:num w:numId="11" w16cid:durableId="549919920">
    <w:abstractNumId w:val="13"/>
  </w:num>
  <w:num w:numId="12" w16cid:durableId="948582573">
    <w:abstractNumId w:val="7"/>
  </w:num>
  <w:num w:numId="13" w16cid:durableId="1406685221">
    <w:abstractNumId w:val="16"/>
  </w:num>
  <w:num w:numId="14" w16cid:durableId="1797529589">
    <w:abstractNumId w:val="14"/>
  </w:num>
  <w:num w:numId="15" w16cid:durableId="1262879195">
    <w:abstractNumId w:val="8"/>
  </w:num>
  <w:num w:numId="16" w16cid:durableId="511265612">
    <w:abstractNumId w:val="12"/>
  </w:num>
  <w:num w:numId="17" w16cid:durableId="1590774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F5"/>
    <w:rsid w:val="00066D35"/>
    <w:rsid w:val="004D559E"/>
    <w:rsid w:val="00705330"/>
    <w:rsid w:val="00796DE5"/>
    <w:rsid w:val="00924A7B"/>
    <w:rsid w:val="00CB3C24"/>
    <w:rsid w:val="00F069C5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F1747"/>
  <w15:chartTrackingRefBased/>
  <w15:docId w15:val="{44BFE92F-1C70-45B8-B497-D9EA8F25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B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4B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B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6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9C5"/>
  </w:style>
  <w:style w:type="paragraph" w:styleId="Footer">
    <w:name w:val="footer"/>
    <w:basedOn w:val="Normal"/>
    <w:link w:val="FooterChar"/>
    <w:uiPriority w:val="99"/>
    <w:unhideWhenUsed/>
    <w:rsid w:val="00F06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cp:keywords/>
  <dc:description/>
  <cp:lastModifiedBy>Simona Glonci</cp:lastModifiedBy>
  <cp:revision>3</cp:revision>
  <dcterms:created xsi:type="dcterms:W3CDTF">2026-01-27T08:51:00Z</dcterms:created>
  <dcterms:modified xsi:type="dcterms:W3CDTF">2026-01-28T11:30:00Z</dcterms:modified>
</cp:coreProperties>
</file>