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7BC1" w14:textId="5AA1A526" w:rsidR="00BC68CF" w:rsidRDefault="00B73CDF" w:rsidP="00BC68CF">
      <w:pPr>
        <w:pStyle w:val="NoSpacing"/>
        <w:jc w:val="center"/>
        <w:rPr>
          <w:b/>
          <w:bCs/>
        </w:rPr>
      </w:pPr>
      <w:r>
        <w:rPr>
          <w:b/>
          <w:bCs/>
        </w:rPr>
        <w:t>Ethics</w:t>
      </w:r>
      <w:r w:rsidR="00BC68CF">
        <w:rPr>
          <w:b/>
          <w:bCs/>
        </w:rPr>
        <w:t xml:space="preserve"> and Teaching</w:t>
      </w:r>
    </w:p>
    <w:p w14:paraId="45CA624D" w14:textId="0E686C9D" w:rsidR="007C0E91" w:rsidRPr="002A6750" w:rsidRDefault="002A6750" w:rsidP="002A6750">
      <w:pPr>
        <w:pStyle w:val="NoSpacing"/>
        <w:rPr>
          <w:b/>
          <w:bCs/>
        </w:rPr>
      </w:pPr>
      <w:r w:rsidRPr="002A6750">
        <w:rPr>
          <w:b/>
          <w:bCs/>
        </w:rPr>
        <w:t>Additional Course Materials: Module 2 – Teaching Professionalism – its ethics and values: By Alan Newland to support his video</w:t>
      </w:r>
    </w:p>
    <w:p w14:paraId="08B790BB" w14:textId="77777777" w:rsidR="002A6750" w:rsidRPr="002A6750" w:rsidRDefault="002A6750" w:rsidP="002A6750">
      <w:pPr>
        <w:pStyle w:val="NoSpacing"/>
        <w:rPr>
          <w:b/>
          <w:bCs/>
        </w:rPr>
      </w:pPr>
    </w:p>
    <w:p w14:paraId="73A2E275" w14:textId="77777777" w:rsidR="002A6750" w:rsidRPr="002A6750" w:rsidRDefault="002A6750" w:rsidP="002A6750">
      <w:pPr>
        <w:pStyle w:val="NoSpacing"/>
        <w:rPr>
          <w:b/>
          <w:bCs/>
        </w:rPr>
      </w:pPr>
      <w:r w:rsidRPr="002A6750">
        <w:rPr>
          <w:b/>
          <w:bCs/>
        </w:rPr>
        <w:t>What are ethics?</w:t>
      </w:r>
    </w:p>
    <w:p w14:paraId="4AD698E4" w14:textId="77777777" w:rsidR="002A6750" w:rsidRDefault="002A6750" w:rsidP="002A6750">
      <w:pPr>
        <w:pStyle w:val="NoSpacing"/>
      </w:pPr>
    </w:p>
    <w:p w14:paraId="52A848FD" w14:textId="25B43C5F" w:rsidR="002A6750" w:rsidRDefault="002A6750" w:rsidP="002A6750">
      <w:pPr>
        <w:pStyle w:val="NoSpacing"/>
      </w:pPr>
      <w:r>
        <w:t>I’m going to focus here on a definition of ethics as the behaviour and practices that are thought of as ‘right’ (or ‘wrong’) in the public and professional realm and on raising issues of professional ethics as a teacher as opposed to any teacher’s individual, personal morality. I will concentrate on the ethics of what teachers do and why they do it, how and why they make choices from the dilemmas they face and how things like professional codes of conduct guide their behaviours, practices and choices.</w:t>
      </w:r>
    </w:p>
    <w:p w14:paraId="2B212D23" w14:textId="77777777" w:rsidR="002A6750" w:rsidRDefault="002A6750" w:rsidP="002A6750">
      <w:pPr>
        <w:pStyle w:val="NoSpacing"/>
      </w:pPr>
    </w:p>
    <w:p w14:paraId="78C89A77" w14:textId="77777777" w:rsidR="002A6750" w:rsidRPr="002A6750" w:rsidRDefault="002A6750" w:rsidP="002A6750">
      <w:pPr>
        <w:pStyle w:val="NoSpacing"/>
        <w:rPr>
          <w:b/>
          <w:bCs/>
        </w:rPr>
      </w:pPr>
      <w:r w:rsidRPr="002A6750">
        <w:rPr>
          <w:b/>
          <w:bCs/>
        </w:rPr>
        <w:t xml:space="preserve">Ethical codes of conduct and practice </w:t>
      </w:r>
    </w:p>
    <w:p w14:paraId="42DABF1E" w14:textId="77777777" w:rsidR="002A6750" w:rsidRDefault="002A6750" w:rsidP="002A6750">
      <w:pPr>
        <w:pStyle w:val="NoSpacing"/>
      </w:pPr>
    </w:p>
    <w:p w14:paraId="5CE2AD5A" w14:textId="77777777" w:rsidR="002A6750" w:rsidRDefault="002A6750" w:rsidP="002A6750">
      <w:pPr>
        <w:pStyle w:val="NoSpacing"/>
      </w:pPr>
      <w:r>
        <w:t xml:space="preserve">All established professions have professional codes of conduct and practice. Though they have often been revised to take account of modern norms and societal expectations, they are a traditional feature and marker defining professionalism. As we have noted earlier, such codes not only affirm the values of the profession to its practitioners, but they are also an expression of the profession’s values to its clients and the </w:t>
      </w:r>
      <w:proofErr w:type="gramStart"/>
      <w:r>
        <w:t>general public</w:t>
      </w:r>
      <w:proofErr w:type="gramEnd"/>
      <w:r>
        <w:t xml:space="preserve">. In effect, they declare: “This is what we do, this is who we are, this is what we believe in.”  Given that, they are a very important part of espousing a professional ethic.  </w:t>
      </w:r>
    </w:p>
    <w:p w14:paraId="7F212C29" w14:textId="77777777" w:rsidR="002A6750" w:rsidRDefault="002A6750" w:rsidP="002A6750">
      <w:pPr>
        <w:pStyle w:val="NoSpacing"/>
      </w:pPr>
    </w:p>
    <w:p w14:paraId="2B0E4D8B" w14:textId="36A81243" w:rsidR="002A6750" w:rsidRDefault="002A6750" w:rsidP="002A6750">
      <w:pPr>
        <w:pStyle w:val="NoSpacing"/>
      </w:pPr>
      <w:r>
        <w:t xml:space="preserve">They are also used to hold a profession to account, so they are the reference point for disciplinary matters of competence and conduct. They are used to judge whether a member of a profession has failed to live up to the published standards or even sought to undermine them by bringing the profession into disrepute. Though codes are a useful starting point for clients and the </w:t>
      </w:r>
      <w:proofErr w:type="gramStart"/>
      <w:r>
        <w:t>general public</w:t>
      </w:r>
      <w:proofErr w:type="gramEnd"/>
      <w:r>
        <w:t>, a so-called ‘lay’ person is obviously not technically capable of judging a qualified ‘professional’ person on the finer points of competence. That’s not to say they cannot make a justified complaint about competence or the lack of it – the patient of a dentist may feel they have received a standard of service below that which they have a right to expect – but they cannot make a technical judgment about competence of a dentist in the way peers and fellow-practitioners can.</w:t>
      </w:r>
    </w:p>
    <w:p w14:paraId="32C88037" w14:textId="77777777" w:rsidR="002A6750" w:rsidRDefault="002A6750" w:rsidP="002A6750">
      <w:pPr>
        <w:pStyle w:val="NoSpacing"/>
      </w:pPr>
    </w:p>
    <w:p w14:paraId="782C5078" w14:textId="034A7FDD" w:rsidR="002A6750" w:rsidRDefault="002A6750" w:rsidP="002A6750">
      <w:pPr>
        <w:pStyle w:val="NoSpacing"/>
      </w:pPr>
      <w:r w:rsidRPr="002A6750">
        <w:t xml:space="preserve">What clients and the </w:t>
      </w:r>
      <w:proofErr w:type="gramStart"/>
      <w:r w:rsidRPr="002A6750">
        <w:t>general public</w:t>
      </w:r>
      <w:proofErr w:type="gramEnd"/>
      <w:r w:rsidRPr="002A6750">
        <w:t xml:space="preserve"> have a more direct right to judge is the conduct of a professional person. For example, whether they feel their doctor has broken the bond of patient confidentiality or their solicitor has wrongly advised them that a case was going well when in fact it was failing. Until the advent of the regulatory bodies, teachers in England, Wales and Northern Ireland operated without any objective, national, ethical code (though some local authorities had them and Scotland has had a professional body since the mid-1960s). The GTC in </w:t>
      </w:r>
      <w:proofErr w:type="gramStart"/>
      <w:r w:rsidRPr="002A6750">
        <w:t>England  was</w:t>
      </w:r>
      <w:proofErr w:type="gramEnd"/>
      <w:r w:rsidRPr="002A6750">
        <w:t xml:space="preserve"> established only in 2001 and has since been abolished. The Teachers’ Standards (coming in as a teaching’s professional code in 2012) replaced the GTC’s Code of Conduct and Practice. Traditionally though, the collective wisdom and values of the teaching profession in most of the UK was largely implicit and highly subjective. Local authorities variably dealt with such matters. </w:t>
      </w:r>
      <w:r w:rsidRPr="002A6750">
        <w:lastRenderedPageBreak/>
        <w:t>Typical of what might happen thirty years ago was that a local authority and/or trade union official (if allegations of incompetence ever got as far as a formal procedure) would quietly advise the alleged miscreant to resign and move-on to another job elsewhere. Incompetence cases that led to dismissal were virtually unheard of in the 1980s and 90s.</w:t>
      </w:r>
    </w:p>
    <w:p w14:paraId="09E4D79A" w14:textId="77777777" w:rsidR="002A6750" w:rsidRDefault="002A6750" w:rsidP="002A6750">
      <w:pPr>
        <w:pStyle w:val="NoSpacing"/>
      </w:pPr>
    </w:p>
    <w:p w14:paraId="2A9F890D" w14:textId="77777777" w:rsidR="002A6750" w:rsidRDefault="002A6750" w:rsidP="002A6750">
      <w:pPr>
        <w:pStyle w:val="NoSpacing"/>
      </w:pPr>
      <w:r>
        <w:t xml:space="preserve">What is the purpose of a code of ethics? </w:t>
      </w:r>
    </w:p>
    <w:p w14:paraId="455981FA" w14:textId="77777777" w:rsidR="002A6750" w:rsidRDefault="002A6750" w:rsidP="002A6750">
      <w:pPr>
        <w:pStyle w:val="NoSpacing"/>
      </w:pPr>
    </w:p>
    <w:p w14:paraId="15DC2DE3" w14:textId="77777777" w:rsidR="002A6750" w:rsidRDefault="002A6750" w:rsidP="002A6750">
      <w:pPr>
        <w:pStyle w:val="NoSpacing"/>
      </w:pPr>
      <w:r>
        <w:t>First, they serve the public and the professional interest by making explicit the values of the profession. Secondly, they exist to inspire confidence in the profession - to itself and its members. They are intended to inspire confidence in the public too - about the profession’s mission and the standards maintained by its practitioners. Professional ethics cannot be imposed by written codes alone. They must become part of an internalized, individual as well as collective consciousness that comprise an ethic of care, competence and commitment. They cannot be merely codes of professional etiquette but must powerfully link what, in our case, teachers do and why they do it.  Conforming to a code therefore, without being committed to its values and ideals is of course only a sham. That is not to say that professional people should not question codes or raise issues with their contents. Teachers do that all the time with elements of the Teachers’ Standards (which we’ll turn to shortly) but ethical codes should be broad statements of ethical principle. They should describe:</w:t>
      </w:r>
    </w:p>
    <w:p w14:paraId="3AD91DAE" w14:textId="77777777" w:rsidR="002A6750" w:rsidRDefault="002A6750" w:rsidP="002A6750">
      <w:pPr>
        <w:pStyle w:val="NoSpacing"/>
      </w:pPr>
      <w:r>
        <w:t>•</w:t>
      </w:r>
      <w:r>
        <w:tab/>
        <w:t>Idealism – what ideally (even romantically) do teachers want to achieve?</w:t>
      </w:r>
    </w:p>
    <w:p w14:paraId="3654693D" w14:textId="77777777" w:rsidR="002A6750" w:rsidRDefault="002A6750" w:rsidP="002A6750">
      <w:pPr>
        <w:pStyle w:val="NoSpacing"/>
      </w:pPr>
      <w:r>
        <w:t>•</w:t>
      </w:r>
      <w:r>
        <w:tab/>
        <w:t>Beneficence – what ‘good’ are teachers trying to do?</w:t>
      </w:r>
    </w:p>
    <w:p w14:paraId="165531E1" w14:textId="5F561882" w:rsidR="002A6750" w:rsidRDefault="002A6750" w:rsidP="002A6750">
      <w:pPr>
        <w:pStyle w:val="NoSpacing"/>
      </w:pPr>
      <w:r>
        <w:t>•</w:t>
      </w:r>
      <w:r>
        <w:tab/>
        <w:t>Non-maleficence – what harm are teachers trying to prevent or minimize?</w:t>
      </w:r>
    </w:p>
    <w:p w14:paraId="16CB1F2F" w14:textId="77777777" w:rsidR="002A6750" w:rsidRDefault="002A6750" w:rsidP="002A6750">
      <w:pPr>
        <w:pStyle w:val="NoSpacing"/>
      </w:pPr>
    </w:p>
    <w:p w14:paraId="36D2C64C" w14:textId="77777777" w:rsidR="002A6750" w:rsidRDefault="002A6750" w:rsidP="002A6750">
      <w:pPr>
        <w:pStyle w:val="NoSpacing"/>
      </w:pPr>
      <w:r>
        <w:t>In 1995 the Universities Council for the Education of Teachers (UCET) published a set of ethical principles that they proposed where fundamental to teaching. They said that teachers must:</w:t>
      </w:r>
    </w:p>
    <w:p w14:paraId="4F0E1379" w14:textId="77777777" w:rsidR="002A6750" w:rsidRDefault="002A6750" w:rsidP="002A6750">
      <w:pPr>
        <w:pStyle w:val="NoSpacing"/>
      </w:pPr>
      <w:r>
        <w:t>1.</w:t>
      </w:r>
      <w:r>
        <w:tab/>
        <w:t xml:space="preserve">Have intellectual </w:t>
      </w:r>
      <w:proofErr w:type="gramStart"/>
      <w:r>
        <w:t>integrity;</w:t>
      </w:r>
      <w:proofErr w:type="gramEnd"/>
    </w:p>
    <w:p w14:paraId="6A0DD5D5" w14:textId="77777777" w:rsidR="002A6750" w:rsidRDefault="002A6750" w:rsidP="002A6750">
      <w:pPr>
        <w:pStyle w:val="NoSpacing"/>
      </w:pPr>
      <w:r>
        <w:t>2.</w:t>
      </w:r>
      <w:r>
        <w:tab/>
        <w:t xml:space="preserve">Have vocational </w:t>
      </w:r>
      <w:proofErr w:type="gramStart"/>
      <w:r>
        <w:t>integrity;</w:t>
      </w:r>
      <w:proofErr w:type="gramEnd"/>
    </w:p>
    <w:p w14:paraId="2FD13428" w14:textId="77777777" w:rsidR="002A6750" w:rsidRDefault="002A6750" w:rsidP="002A6750">
      <w:pPr>
        <w:pStyle w:val="NoSpacing"/>
      </w:pPr>
      <w:r>
        <w:t>3.</w:t>
      </w:r>
      <w:r>
        <w:tab/>
        <w:t xml:space="preserve">Show moral </w:t>
      </w:r>
      <w:proofErr w:type="gramStart"/>
      <w:r>
        <w:t>courage;</w:t>
      </w:r>
      <w:proofErr w:type="gramEnd"/>
    </w:p>
    <w:p w14:paraId="07CAABF7" w14:textId="77777777" w:rsidR="002A6750" w:rsidRDefault="002A6750" w:rsidP="002A6750">
      <w:pPr>
        <w:pStyle w:val="NoSpacing"/>
      </w:pPr>
      <w:r>
        <w:t>4.</w:t>
      </w:r>
      <w:r>
        <w:tab/>
        <w:t xml:space="preserve">Exercise </w:t>
      </w:r>
      <w:proofErr w:type="gramStart"/>
      <w:r>
        <w:t>altruism;</w:t>
      </w:r>
      <w:proofErr w:type="gramEnd"/>
    </w:p>
    <w:p w14:paraId="0533D683" w14:textId="77777777" w:rsidR="002A6750" w:rsidRDefault="002A6750" w:rsidP="002A6750">
      <w:pPr>
        <w:pStyle w:val="NoSpacing"/>
      </w:pPr>
      <w:r>
        <w:t>5.</w:t>
      </w:r>
      <w:r>
        <w:tab/>
        <w:t xml:space="preserve">Exercise </w:t>
      </w:r>
      <w:proofErr w:type="gramStart"/>
      <w:r>
        <w:t>impartiality;</w:t>
      </w:r>
      <w:proofErr w:type="gramEnd"/>
    </w:p>
    <w:p w14:paraId="30B90069" w14:textId="77777777" w:rsidR="002A6750" w:rsidRDefault="002A6750" w:rsidP="002A6750">
      <w:pPr>
        <w:pStyle w:val="NoSpacing"/>
      </w:pPr>
      <w:r>
        <w:t>6.</w:t>
      </w:r>
      <w:r>
        <w:tab/>
        <w:t xml:space="preserve">Exercise human </w:t>
      </w:r>
      <w:proofErr w:type="gramStart"/>
      <w:r>
        <w:t>insight;</w:t>
      </w:r>
      <w:proofErr w:type="gramEnd"/>
    </w:p>
    <w:p w14:paraId="4451850D" w14:textId="77777777" w:rsidR="002A6750" w:rsidRDefault="002A6750" w:rsidP="002A6750">
      <w:pPr>
        <w:pStyle w:val="NoSpacing"/>
      </w:pPr>
      <w:r>
        <w:t>7.</w:t>
      </w:r>
      <w:r>
        <w:tab/>
        <w:t xml:space="preserve">Assume the responsibility of </w:t>
      </w:r>
      <w:proofErr w:type="gramStart"/>
      <w:r>
        <w:t>influence;</w:t>
      </w:r>
      <w:proofErr w:type="gramEnd"/>
    </w:p>
    <w:p w14:paraId="066A1373" w14:textId="77777777" w:rsidR="002A6750" w:rsidRDefault="002A6750" w:rsidP="002A6750">
      <w:pPr>
        <w:pStyle w:val="NoSpacing"/>
      </w:pPr>
      <w:r>
        <w:t>8.</w:t>
      </w:r>
      <w:r>
        <w:tab/>
        <w:t xml:space="preserve">Exercise </w:t>
      </w:r>
      <w:proofErr w:type="gramStart"/>
      <w:r>
        <w:t>humility;</w:t>
      </w:r>
      <w:proofErr w:type="gramEnd"/>
    </w:p>
    <w:p w14:paraId="2E78E072" w14:textId="77777777" w:rsidR="002A6750" w:rsidRDefault="002A6750" w:rsidP="002A6750">
      <w:pPr>
        <w:pStyle w:val="NoSpacing"/>
      </w:pPr>
      <w:r>
        <w:t>9.</w:t>
      </w:r>
      <w:r>
        <w:tab/>
        <w:t xml:space="preserve">Exercise </w:t>
      </w:r>
      <w:proofErr w:type="gramStart"/>
      <w:r>
        <w:t>collegiality;</w:t>
      </w:r>
      <w:proofErr w:type="gramEnd"/>
    </w:p>
    <w:p w14:paraId="6E473BB2" w14:textId="77777777" w:rsidR="002A6750" w:rsidRDefault="002A6750" w:rsidP="002A6750">
      <w:pPr>
        <w:pStyle w:val="NoSpacing"/>
      </w:pPr>
      <w:r>
        <w:t>10.</w:t>
      </w:r>
      <w:r>
        <w:tab/>
        <w:t>Exercise partnership, and finally</w:t>
      </w:r>
    </w:p>
    <w:p w14:paraId="3DCA040A" w14:textId="77777777" w:rsidR="002A6750" w:rsidRDefault="002A6750" w:rsidP="002A6750">
      <w:pPr>
        <w:pStyle w:val="NoSpacing"/>
      </w:pPr>
      <w:r>
        <w:t>11.</w:t>
      </w:r>
      <w:r>
        <w:tab/>
        <w:t xml:space="preserve">Exercise vigilance </w:t>
      </w:r>
      <w:proofErr w:type="gramStart"/>
      <w:r>
        <w:t>with regard to</w:t>
      </w:r>
      <w:proofErr w:type="gramEnd"/>
      <w:r>
        <w:t xml:space="preserve"> professional responsibilities and aspirations. </w:t>
      </w:r>
    </w:p>
    <w:p w14:paraId="0A09CE86" w14:textId="77777777" w:rsidR="002A6750" w:rsidRDefault="002A6750" w:rsidP="002A6750">
      <w:pPr>
        <w:pStyle w:val="NoSpacing"/>
      </w:pPr>
    </w:p>
    <w:p w14:paraId="5DC61A09" w14:textId="3544AAD2" w:rsidR="002A6750" w:rsidRDefault="002A6750" w:rsidP="002A6750">
      <w:pPr>
        <w:pStyle w:val="NoSpacing"/>
      </w:pPr>
      <w:r>
        <w:t xml:space="preserve">There are </w:t>
      </w:r>
      <w:proofErr w:type="gramStart"/>
      <w:r>
        <w:t>a number of</w:t>
      </w:r>
      <w:proofErr w:type="gramEnd"/>
      <w:r>
        <w:t xml:space="preserve"> references to ‘integrity’ in this earlier blueprint for a teachers’ code. I would go further and interpret some of the references to ‘integrity’ as references to ‘truth’. Truth is the intellectual equivalent of a trustworthy public space. Science knows this. So does medicine and law. Education should too. A respect for truth and integrity in seeking truth is essential if pupils are to trust us and respect our authority; but as the above list says, we must exercise humility too.</w:t>
      </w:r>
    </w:p>
    <w:p w14:paraId="73B80F73" w14:textId="77777777" w:rsidR="00B73CDF" w:rsidRDefault="00B73CDF" w:rsidP="002A6750">
      <w:pPr>
        <w:pStyle w:val="NoSpacing"/>
      </w:pPr>
    </w:p>
    <w:p w14:paraId="10425C2B" w14:textId="77777777" w:rsidR="00B73CDF" w:rsidRDefault="00B73CDF" w:rsidP="00B73CDF">
      <w:pPr>
        <w:pStyle w:val="NoSpacing"/>
      </w:pPr>
    </w:p>
    <w:p w14:paraId="5CD68BDA" w14:textId="77777777" w:rsidR="00B73CDF" w:rsidRDefault="00B73CDF" w:rsidP="00B73CDF">
      <w:pPr>
        <w:pStyle w:val="NoSpacing"/>
      </w:pPr>
      <w:r>
        <w:t>At many of the lectures I do with teacher-trainees around the country, the issue of tolerance comes up regularly.  As a teacher, you will know that the Teachers’ Standards in England require teachers to:</w:t>
      </w:r>
    </w:p>
    <w:p w14:paraId="2DC006CF" w14:textId="77777777" w:rsidR="00B73CDF" w:rsidRDefault="00B73CDF" w:rsidP="00B73CDF">
      <w:pPr>
        <w:pStyle w:val="NoSpacing"/>
      </w:pPr>
      <w:r>
        <w:t>•</w:t>
      </w:r>
      <w:r>
        <w:tab/>
        <w:t xml:space="preserve">show tolerance of and respect for the rights of others, and </w:t>
      </w:r>
    </w:p>
    <w:p w14:paraId="5D33F6CB" w14:textId="3AD1FA28" w:rsidR="00B73CDF" w:rsidRDefault="00B73CDF" w:rsidP="00B73CDF">
      <w:pPr>
        <w:pStyle w:val="NoSpacing"/>
      </w:pPr>
      <w:r>
        <w:t>•</w:t>
      </w:r>
      <w:r>
        <w:tab/>
        <w:t>not undermine fundamental British values, including… tolerance of those with different faiths and beliefs…</w:t>
      </w:r>
    </w:p>
    <w:p w14:paraId="7786EF46" w14:textId="77777777" w:rsidR="00B73CDF" w:rsidRDefault="00B73CDF" w:rsidP="00B73CDF">
      <w:pPr>
        <w:pStyle w:val="NoSpacing"/>
      </w:pPr>
    </w:p>
    <w:p w14:paraId="3AC31C9B" w14:textId="0FD5C6B5" w:rsidR="00B73CDF" w:rsidRDefault="00B73CDF" w:rsidP="00B73CDF">
      <w:pPr>
        <w:pStyle w:val="NoSpacing"/>
      </w:pPr>
      <w:r w:rsidRPr="00B73CDF">
        <w:t>Putting up with someone’s faith or belief that you do not like – and that you might even be fundamentally opposed to – should not be seen as a negative thing. Tolerance is a virtue and in a free, democratic and liberal society we should value it.</w:t>
      </w:r>
    </w:p>
    <w:p w14:paraId="38FBF8E0" w14:textId="77777777" w:rsidR="00B73CDF" w:rsidRDefault="00B73CDF" w:rsidP="00B73CDF">
      <w:pPr>
        <w:pStyle w:val="NoSpacing"/>
      </w:pPr>
    </w:p>
    <w:p w14:paraId="43AF1EA7" w14:textId="207FBA79" w:rsidR="00295293" w:rsidRDefault="00295293" w:rsidP="00B73CDF">
      <w:pPr>
        <w:pStyle w:val="NoSpacing"/>
      </w:pPr>
      <w:r w:rsidRPr="00295293">
        <w:rPr>
          <w:color w:val="D86DCB" w:themeColor="accent5" w:themeTint="99"/>
        </w:rPr>
        <w:t>Further research on ethics recommended by April</w:t>
      </w:r>
      <w:r>
        <w:t>:</w:t>
      </w:r>
    </w:p>
    <w:p w14:paraId="48417093" w14:textId="77777777" w:rsidR="00295293" w:rsidRPr="00295293" w:rsidRDefault="00295293" w:rsidP="00295293">
      <w:pPr>
        <w:pStyle w:val="NoSpacing"/>
      </w:pPr>
      <w:r w:rsidRPr="00295293">
        <w:t> </w:t>
      </w:r>
    </w:p>
    <w:p w14:paraId="11888089" w14:textId="77777777" w:rsidR="00295293" w:rsidRPr="00295293" w:rsidRDefault="00295293" w:rsidP="00295293">
      <w:pPr>
        <w:pStyle w:val="NoSpacing"/>
      </w:pPr>
      <w:hyperlink r:id="rId6" w:tgtFrame="_blank" w:tooltip="https://teachers.institute/learning-teaching/teaching-moral-compass-future-generations/" w:history="1">
        <w:r w:rsidRPr="00295293">
          <w:rPr>
            <w:rStyle w:val="Hyperlink"/>
          </w:rPr>
          <w:t>Teaching as a Moral Compass: Shaping Future Generations • Teachers Institute</w:t>
        </w:r>
      </w:hyperlink>
    </w:p>
    <w:p w14:paraId="3CB7C609" w14:textId="77777777" w:rsidR="00295293" w:rsidRPr="00295293" w:rsidRDefault="00295293" w:rsidP="00295293">
      <w:pPr>
        <w:pStyle w:val="NoSpacing"/>
      </w:pPr>
      <w:r w:rsidRPr="00295293">
        <w:t> </w:t>
      </w:r>
    </w:p>
    <w:p w14:paraId="71351EEF" w14:textId="77777777" w:rsidR="00295293" w:rsidRPr="00295293" w:rsidRDefault="00295293" w:rsidP="00295293">
      <w:pPr>
        <w:pStyle w:val="NoSpacing"/>
      </w:pPr>
      <w:hyperlink r:id="rId7" w:tgtFrame="_blank" w:tooltip="https://teachers.institute/head-teachers-as-school-leaders/ethics-in-education-teaching-beyond-academics/" w:history="1">
        <w:r w:rsidRPr="00295293">
          <w:rPr>
            <w:rStyle w:val="Hyperlink"/>
          </w:rPr>
          <w:t>Ethics in Education: Why Teaching is More Than Just Academics • Teachers Institute</w:t>
        </w:r>
      </w:hyperlink>
    </w:p>
    <w:p w14:paraId="1DF0A499" w14:textId="77777777" w:rsidR="00295293" w:rsidRPr="00295293" w:rsidRDefault="00295293" w:rsidP="00295293">
      <w:pPr>
        <w:pStyle w:val="NoSpacing"/>
      </w:pPr>
      <w:r w:rsidRPr="00295293">
        <w:t> </w:t>
      </w:r>
    </w:p>
    <w:p w14:paraId="33E7391B" w14:textId="77777777" w:rsidR="00295293" w:rsidRPr="00295293" w:rsidRDefault="00295293" w:rsidP="00295293">
      <w:pPr>
        <w:pStyle w:val="NoSpacing"/>
      </w:pPr>
      <w:hyperlink r:id="rId8" w:tgtFrame="_blank" w:tooltip="https://online-learning-college.com/knowledge-hub/education/professional-ethics-and-standards-in-education/" w:history="1">
        <w:r w:rsidRPr="00295293">
          <w:rPr>
            <w:rStyle w:val="Hyperlink"/>
          </w:rPr>
          <w:t xml:space="preserve">Upholding Professional Ethics </w:t>
        </w:r>
        <w:proofErr w:type="gramStart"/>
        <w:r w:rsidRPr="00295293">
          <w:rPr>
            <w:rStyle w:val="Hyperlink"/>
          </w:rPr>
          <w:t>In</w:t>
        </w:r>
        <w:proofErr w:type="gramEnd"/>
        <w:r w:rsidRPr="00295293">
          <w:rPr>
            <w:rStyle w:val="Hyperlink"/>
          </w:rPr>
          <w:t xml:space="preserve"> Education </w:t>
        </w:r>
        <w:proofErr w:type="gramStart"/>
        <w:r w:rsidRPr="00295293">
          <w:rPr>
            <w:rStyle w:val="Hyperlink"/>
          </w:rPr>
          <w:t>For</w:t>
        </w:r>
        <w:proofErr w:type="gramEnd"/>
        <w:r w:rsidRPr="00295293">
          <w:rPr>
            <w:rStyle w:val="Hyperlink"/>
          </w:rPr>
          <w:t xml:space="preserve"> Fairness</w:t>
        </w:r>
      </w:hyperlink>
    </w:p>
    <w:p w14:paraId="23CB7467" w14:textId="48868B23" w:rsidR="00295293" w:rsidRDefault="00295293" w:rsidP="00295293">
      <w:pPr>
        <w:pStyle w:val="NoSpacing"/>
      </w:pPr>
      <w:r w:rsidRPr="00295293">
        <w:t> </w:t>
      </w:r>
    </w:p>
    <w:sectPr w:rsidR="0029529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746B" w14:textId="77777777" w:rsidR="004A5749" w:rsidRDefault="004A5749" w:rsidP="00295293">
      <w:pPr>
        <w:spacing w:after="0" w:line="240" w:lineRule="auto"/>
      </w:pPr>
      <w:r>
        <w:separator/>
      </w:r>
    </w:p>
  </w:endnote>
  <w:endnote w:type="continuationSeparator" w:id="0">
    <w:p w14:paraId="2370AD6C" w14:textId="77777777" w:rsidR="004A5749" w:rsidRDefault="004A5749" w:rsidP="0029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359531"/>
      <w:docPartObj>
        <w:docPartGallery w:val="Page Numbers (Bottom of Page)"/>
        <w:docPartUnique/>
      </w:docPartObj>
    </w:sdtPr>
    <w:sdtEndPr>
      <w:rPr>
        <w:color w:val="7F7F7F" w:themeColor="background1" w:themeShade="7F"/>
        <w:spacing w:val="60"/>
      </w:rPr>
    </w:sdtEndPr>
    <w:sdtContent>
      <w:p w14:paraId="6F357179" w14:textId="273BBBF4" w:rsidR="00295293" w:rsidRDefault="0029529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E45454" w14:textId="77777777" w:rsidR="00295293" w:rsidRDefault="00295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92DA" w14:textId="77777777" w:rsidR="004A5749" w:rsidRDefault="004A5749" w:rsidP="00295293">
      <w:pPr>
        <w:spacing w:after="0" w:line="240" w:lineRule="auto"/>
      </w:pPr>
      <w:r>
        <w:separator/>
      </w:r>
    </w:p>
  </w:footnote>
  <w:footnote w:type="continuationSeparator" w:id="0">
    <w:p w14:paraId="7416B01A" w14:textId="77777777" w:rsidR="004A5749" w:rsidRDefault="004A5749" w:rsidP="002952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91"/>
    <w:rsid w:val="00123B1F"/>
    <w:rsid w:val="00295293"/>
    <w:rsid w:val="002A6750"/>
    <w:rsid w:val="004A5749"/>
    <w:rsid w:val="006A26D5"/>
    <w:rsid w:val="007C0E91"/>
    <w:rsid w:val="00B73CDF"/>
    <w:rsid w:val="00BC6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C2C3"/>
  <w15:chartTrackingRefBased/>
  <w15:docId w15:val="{E6A3EB22-CBC0-4AD7-AB05-7E042F4C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E91"/>
    <w:rPr>
      <w:rFonts w:eastAsiaTheme="majorEastAsia" w:cstheme="majorBidi"/>
      <w:color w:val="272727" w:themeColor="text1" w:themeTint="D8"/>
    </w:rPr>
  </w:style>
  <w:style w:type="paragraph" w:styleId="Title">
    <w:name w:val="Title"/>
    <w:basedOn w:val="Normal"/>
    <w:next w:val="Normal"/>
    <w:link w:val="TitleChar"/>
    <w:uiPriority w:val="10"/>
    <w:qFormat/>
    <w:rsid w:val="007C0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E91"/>
    <w:pPr>
      <w:spacing w:before="160"/>
      <w:jc w:val="center"/>
    </w:pPr>
    <w:rPr>
      <w:i/>
      <w:iCs/>
      <w:color w:val="404040" w:themeColor="text1" w:themeTint="BF"/>
    </w:rPr>
  </w:style>
  <w:style w:type="character" w:customStyle="1" w:styleId="QuoteChar">
    <w:name w:val="Quote Char"/>
    <w:basedOn w:val="DefaultParagraphFont"/>
    <w:link w:val="Quote"/>
    <w:uiPriority w:val="29"/>
    <w:rsid w:val="007C0E91"/>
    <w:rPr>
      <w:i/>
      <w:iCs/>
      <w:color w:val="404040" w:themeColor="text1" w:themeTint="BF"/>
    </w:rPr>
  </w:style>
  <w:style w:type="paragraph" w:styleId="ListParagraph">
    <w:name w:val="List Paragraph"/>
    <w:basedOn w:val="Normal"/>
    <w:uiPriority w:val="34"/>
    <w:qFormat/>
    <w:rsid w:val="007C0E91"/>
    <w:pPr>
      <w:ind w:left="720"/>
      <w:contextualSpacing/>
    </w:pPr>
  </w:style>
  <w:style w:type="character" w:styleId="IntenseEmphasis">
    <w:name w:val="Intense Emphasis"/>
    <w:basedOn w:val="DefaultParagraphFont"/>
    <w:uiPriority w:val="21"/>
    <w:qFormat/>
    <w:rsid w:val="007C0E91"/>
    <w:rPr>
      <w:i/>
      <w:iCs/>
      <w:color w:val="0F4761" w:themeColor="accent1" w:themeShade="BF"/>
    </w:rPr>
  </w:style>
  <w:style w:type="paragraph" w:styleId="IntenseQuote">
    <w:name w:val="Intense Quote"/>
    <w:basedOn w:val="Normal"/>
    <w:next w:val="Normal"/>
    <w:link w:val="IntenseQuoteChar"/>
    <w:uiPriority w:val="30"/>
    <w:qFormat/>
    <w:rsid w:val="007C0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91"/>
    <w:rPr>
      <w:i/>
      <w:iCs/>
      <w:color w:val="0F4761" w:themeColor="accent1" w:themeShade="BF"/>
    </w:rPr>
  </w:style>
  <w:style w:type="character" w:styleId="IntenseReference">
    <w:name w:val="Intense Reference"/>
    <w:basedOn w:val="DefaultParagraphFont"/>
    <w:uiPriority w:val="32"/>
    <w:qFormat/>
    <w:rsid w:val="007C0E91"/>
    <w:rPr>
      <w:b/>
      <w:bCs/>
      <w:smallCaps/>
      <w:color w:val="0F4761" w:themeColor="accent1" w:themeShade="BF"/>
      <w:spacing w:val="5"/>
    </w:rPr>
  </w:style>
  <w:style w:type="paragraph" w:styleId="NoSpacing">
    <w:name w:val="No Spacing"/>
    <w:uiPriority w:val="1"/>
    <w:qFormat/>
    <w:rsid w:val="002A6750"/>
    <w:pPr>
      <w:spacing w:after="0" w:line="240" w:lineRule="auto"/>
    </w:pPr>
  </w:style>
  <w:style w:type="character" w:styleId="Hyperlink">
    <w:name w:val="Hyperlink"/>
    <w:basedOn w:val="DefaultParagraphFont"/>
    <w:uiPriority w:val="99"/>
    <w:unhideWhenUsed/>
    <w:rsid w:val="00295293"/>
    <w:rPr>
      <w:color w:val="467886" w:themeColor="hyperlink"/>
      <w:u w:val="single"/>
    </w:rPr>
  </w:style>
  <w:style w:type="character" w:styleId="UnresolvedMention">
    <w:name w:val="Unresolved Mention"/>
    <w:basedOn w:val="DefaultParagraphFont"/>
    <w:uiPriority w:val="99"/>
    <w:semiHidden/>
    <w:unhideWhenUsed/>
    <w:rsid w:val="00295293"/>
    <w:rPr>
      <w:color w:val="605E5C"/>
      <w:shd w:val="clear" w:color="auto" w:fill="E1DFDD"/>
    </w:rPr>
  </w:style>
  <w:style w:type="paragraph" w:styleId="Header">
    <w:name w:val="header"/>
    <w:basedOn w:val="Normal"/>
    <w:link w:val="HeaderChar"/>
    <w:uiPriority w:val="99"/>
    <w:unhideWhenUsed/>
    <w:rsid w:val="00295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293"/>
  </w:style>
  <w:style w:type="paragraph" w:styleId="Footer">
    <w:name w:val="footer"/>
    <w:basedOn w:val="Normal"/>
    <w:link w:val="FooterChar"/>
    <w:uiPriority w:val="99"/>
    <w:unhideWhenUsed/>
    <w:rsid w:val="00295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earning-college.com/knowledge-hub/education/professional-ethics-and-standards-in-education/" TargetMode="External"/><Relationship Id="rId3" Type="http://schemas.openxmlformats.org/officeDocument/2006/relationships/webSettings" Target="webSettings.xml"/><Relationship Id="rId7" Type="http://schemas.openxmlformats.org/officeDocument/2006/relationships/hyperlink" Target="https://teachers.institute/head-teachers-as-school-leaders/ethics-in-education-teaching-beyond-academ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chers.institute/learning-teaching/teaching-moral-compass-future-generati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Elsmore</dc:creator>
  <cp:keywords/>
  <dc:description/>
  <cp:lastModifiedBy>Michelle Ellis-Tipton</cp:lastModifiedBy>
  <cp:revision>2</cp:revision>
  <dcterms:created xsi:type="dcterms:W3CDTF">2026-02-26T11:31:00Z</dcterms:created>
  <dcterms:modified xsi:type="dcterms:W3CDTF">2026-02-26T11:31:00Z</dcterms:modified>
</cp:coreProperties>
</file>