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2F3727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2F3727" w:rsidRDefault="00B510C0" w:rsidP="00B510C0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Grad2Teach – NCFE Level 4 </w:t>
            </w:r>
            <w:r w:rsidR="00AE48DB"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Applied Teaching Practices</w:t>
            </w:r>
          </w:p>
          <w:p w14:paraId="2FB76001" w14:textId="4D0180AB" w:rsidR="00290A6C" w:rsidRDefault="00FB4E33" w:rsidP="00B510C0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Wk</w:t>
            </w:r>
            <w:r w:rsidR="0041261B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4</w:t>
            </w:r>
            <w:r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/ILJ:</w:t>
            </w:r>
            <w:r w:rsidR="0041261B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 What part does pastoral care and support play in children’s development</w:t>
            </w:r>
            <w:r w:rsidR="00290A6C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? </w:t>
            </w:r>
            <w:r w:rsidR="00961F9C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(Part </w:t>
            </w:r>
            <w:r w:rsidR="0041261B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1</w:t>
            </w:r>
            <w:r w:rsidR="00961F9C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)</w:t>
            </w:r>
          </w:p>
          <w:p w14:paraId="490EFE0C" w14:textId="2B98B69D" w:rsidR="00C83546" w:rsidRPr="002F3727" w:rsidRDefault="00290A6C" w:rsidP="00B510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(Part</w:t>
            </w:r>
            <w:r w:rsidR="0041261B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 of understanding how to develop and support ‘The Whole Child’</w:t>
            </w:r>
            <w:r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)</w:t>
            </w:r>
          </w:p>
        </w:tc>
      </w:tr>
    </w:tbl>
    <w:p w14:paraId="78E9FCB5" w14:textId="77777777" w:rsidR="00471CB8" w:rsidRPr="002F3727" w:rsidRDefault="00471CB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471CB8" w:rsidRPr="002F3727" w14:paraId="2B51C10C" w14:textId="77777777">
        <w:tc>
          <w:tcPr>
            <w:tcW w:w="2160" w:type="dxa"/>
          </w:tcPr>
          <w:p w14:paraId="4390A104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2F3727" w:rsidRDefault="00471C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04ED12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Week Number:</w:t>
            </w:r>
          </w:p>
        </w:tc>
        <w:tc>
          <w:tcPr>
            <w:tcW w:w="2160" w:type="dxa"/>
          </w:tcPr>
          <w:p w14:paraId="7207ABAB" w14:textId="179744CE" w:rsidR="00471CB8" w:rsidRPr="002F3727" w:rsidRDefault="004126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 (due week 6)</w:t>
            </w:r>
          </w:p>
        </w:tc>
      </w:tr>
      <w:tr w:rsidR="00471CB8" w:rsidRPr="002F3727" w14:paraId="08F66E16" w14:textId="77777777">
        <w:tc>
          <w:tcPr>
            <w:tcW w:w="2160" w:type="dxa"/>
          </w:tcPr>
          <w:p w14:paraId="7A67C1FF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2F3727" w:rsidRDefault="00471C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0FD8D1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Focus Topic:</w:t>
            </w:r>
          </w:p>
        </w:tc>
        <w:tc>
          <w:tcPr>
            <w:tcW w:w="2160" w:type="dxa"/>
          </w:tcPr>
          <w:p w14:paraId="5CFDA02B" w14:textId="7A2513F9" w:rsidR="00471CB8" w:rsidRPr="002F3727" w:rsidRDefault="00FB4E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Wk</w:t>
            </w:r>
            <w:r w:rsidR="0041261B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4 AO3/ILJ </w:t>
            </w:r>
          </w:p>
        </w:tc>
      </w:tr>
    </w:tbl>
    <w:p w14:paraId="2078C02F" w14:textId="5A6524CD" w:rsidR="006C101C" w:rsidRPr="00D056F1" w:rsidRDefault="006C101C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4A747FA" w14:textId="6891F189" w:rsidR="00FB4E33" w:rsidRPr="002F3727" w:rsidRDefault="00961F9C">
      <w:pPr>
        <w:rPr>
          <w:rFonts w:asciiTheme="majorHAnsi" w:hAnsiTheme="majorHAnsi" w:cstheme="majorHAnsi"/>
          <w:sz w:val="24"/>
          <w:szCs w:val="24"/>
        </w:rPr>
      </w:pPr>
      <w:r w:rsidRPr="00D056F1">
        <w:rPr>
          <w:rFonts w:asciiTheme="majorHAnsi" w:hAnsiTheme="majorHAnsi" w:cstheme="majorHAnsi"/>
          <w:b/>
          <w:bCs/>
          <w:sz w:val="24"/>
          <w:szCs w:val="24"/>
        </w:rPr>
        <w:t xml:space="preserve">This </w:t>
      </w:r>
      <w:r w:rsidR="00D056F1" w:rsidRPr="00D056F1">
        <w:rPr>
          <w:rFonts w:asciiTheme="majorHAnsi" w:hAnsiTheme="majorHAnsi" w:cstheme="majorHAnsi"/>
          <w:b/>
          <w:bCs/>
          <w:sz w:val="24"/>
          <w:szCs w:val="24"/>
        </w:rPr>
        <w:t>ILJ is the culmination of your conversations with the school’s SENCO, Higher-Ability Lead and EAL Lead and your reflections on the part that pastoral care and support plays in children’s development</w:t>
      </w:r>
      <w:r w:rsidRPr="00D056F1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D056F1">
        <w:rPr>
          <w:rFonts w:asciiTheme="majorHAnsi" w:hAnsiTheme="majorHAnsi" w:cstheme="majorHAnsi"/>
          <w:b/>
          <w:bCs/>
          <w:sz w:val="24"/>
          <w:szCs w:val="24"/>
        </w:rPr>
        <w:t xml:space="preserve"> Please note that this work must be completed ahead of TD2 in half-term week (Week 7) and is therefore due in Week 6.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</w:r>
      <w:r w:rsidR="00FB4E33" w:rsidRPr="002F3727">
        <w:rPr>
          <w:rFonts w:asciiTheme="majorHAnsi" w:hAnsiTheme="majorHAnsi" w:cstheme="majorHAnsi"/>
          <w:sz w:val="24"/>
          <w:szCs w:val="24"/>
        </w:rPr>
        <w:br/>
      </w:r>
      <w:r w:rsidR="00FB4E33" w:rsidRPr="002F3727">
        <w:rPr>
          <w:rFonts w:asciiTheme="majorHAnsi" w:hAnsiTheme="majorHAnsi" w:cstheme="majorHAnsi"/>
          <w:b/>
          <w:bCs/>
          <w:sz w:val="24"/>
          <w:szCs w:val="24"/>
        </w:rPr>
        <w:t>Top Tips for Using This Journal: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 xml:space="preserve">1. Keep within the suggested word count (approx. </w:t>
      </w:r>
      <w:r w:rsidR="0041261B">
        <w:rPr>
          <w:rFonts w:asciiTheme="majorHAnsi" w:hAnsiTheme="majorHAnsi" w:cstheme="majorHAnsi"/>
          <w:sz w:val="24"/>
          <w:szCs w:val="24"/>
        </w:rPr>
        <w:t xml:space="preserve">350 words for ‘examine’ and </w:t>
      </w:r>
      <w:r w:rsidR="00FB4E33" w:rsidRPr="002F3727">
        <w:rPr>
          <w:rFonts w:asciiTheme="majorHAnsi" w:hAnsiTheme="majorHAnsi" w:cstheme="majorHAnsi"/>
          <w:sz w:val="24"/>
          <w:szCs w:val="24"/>
        </w:rPr>
        <w:t>500</w:t>
      </w:r>
      <w:r>
        <w:rPr>
          <w:rFonts w:asciiTheme="majorHAnsi" w:hAnsiTheme="majorHAnsi" w:cstheme="majorHAnsi"/>
          <w:sz w:val="24"/>
          <w:szCs w:val="24"/>
        </w:rPr>
        <w:t>-750</w:t>
      </w:r>
      <w:r w:rsidR="00FB4E33" w:rsidRPr="002F3727">
        <w:rPr>
          <w:rFonts w:asciiTheme="majorHAnsi" w:hAnsiTheme="majorHAnsi" w:cstheme="majorHAnsi"/>
          <w:sz w:val="24"/>
          <w:szCs w:val="24"/>
        </w:rPr>
        <w:t xml:space="preserve"> words</w:t>
      </w:r>
      <w:r w:rsidR="0041261B">
        <w:rPr>
          <w:rFonts w:asciiTheme="majorHAnsi" w:hAnsiTheme="majorHAnsi" w:cstheme="majorHAnsi"/>
          <w:sz w:val="24"/>
          <w:szCs w:val="24"/>
        </w:rPr>
        <w:t xml:space="preserve"> for ‘</w:t>
      </w:r>
      <w:proofErr w:type="spellStart"/>
      <w:r w:rsidR="0041261B">
        <w:rPr>
          <w:rFonts w:asciiTheme="majorHAnsi" w:hAnsiTheme="majorHAnsi" w:cstheme="majorHAnsi"/>
          <w:sz w:val="24"/>
          <w:szCs w:val="24"/>
        </w:rPr>
        <w:t>analyse</w:t>
      </w:r>
      <w:proofErr w:type="spellEnd"/>
      <w:r w:rsidR="0041261B">
        <w:rPr>
          <w:rFonts w:asciiTheme="majorHAnsi" w:hAnsiTheme="majorHAnsi" w:cstheme="majorHAnsi"/>
          <w:sz w:val="24"/>
          <w:szCs w:val="24"/>
        </w:rPr>
        <w:t>’</w:t>
      </w:r>
      <w:r>
        <w:rPr>
          <w:rFonts w:asciiTheme="majorHAnsi" w:hAnsiTheme="majorHAnsi" w:cstheme="majorHAnsi"/>
          <w:sz w:val="24"/>
          <w:szCs w:val="24"/>
        </w:rPr>
        <w:t>)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2. Write in clear, short sentences.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3. Use focused paragraphs with a clear topic sentence.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4. Avoid jargon unless you explain it.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5. Keep all examples professional and confidential (no pupil or staff surnames).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6. Declare any use of ChatGPT/AI if it has supported your work (AI Use Declaration Form required).</w:t>
      </w:r>
    </w:p>
    <w:p w14:paraId="2618F61B" w14:textId="45DECF95" w:rsidR="0038267B" w:rsidRPr="002F3727" w:rsidRDefault="00FB4E33" w:rsidP="0038267B">
      <w:pPr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  <w:r w:rsidRPr="002F3727">
        <w:rPr>
          <w:rFonts w:asciiTheme="majorHAnsi" w:hAnsiTheme="majorHAnsi" w:cstheme="majorHAnsi"/>
          <w:b/>
          <w:bCs/>
          <w:color w:val="C00000"/>
          <w:sz w:val="24"/>
          <w:szCs w:val="24"/>
        </w:rPr>
        <w:t>Key Assessment Objectives</w:t>
      </w:r>
      <w:r w:rsidR="004D3837">
        <w:rPr>
          <w:rFonts w:asciiTheme="majorHAnsi" w:hAnsiTheme="majorHAnsi" w:cstheme="majorHAnsi"/>
          <w:b/>
          <w:bCs/>
          <w:color w:val="C00000"/>
          <w:sz w:val="24"/>
          <w:szCs w:val="24"/>
        </w:rPr>
        <w:t xml:space="preserve"> (AO3/4.0/4.1/4.2)</w:t>
      </w:r>
    </w:p>
    <w:p w14:paraId="5325CEB6" w14:textId="77777777" w:rsidR="004D3837" w:rsidRPr="004D3837" w:rsidRDefault="004D3837" w:rsidP="004D3837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4.0</w:t>
      </w:r>
    </w:p>
    <w:p w14:paraId="6C77FB20" w14:textId="77777777" w:rsidR="004D3837" w:rsidRPr="004D3837" w:rsidRDefault="004D3837" w:rsidP="004D3837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Understand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importance of key pastoral roles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in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development of pupils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in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placement school</w:t>
      </w:r>
    </w:p>
    <w:p w14:paraId="51E9E0C0" w14:textId="77777777" w:rsidR="004D3837" w:rsidRPr="004D3837" w:rsidRDefault="004D3837" w:rsidP="004D3837">
      <w:pPr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lastRenderedPageBreak/>
        <w:t>4.1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Examine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key features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of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different pastoral roles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within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placement school</w:t>
      </w:r>
    </w:p>
    <w:p w14:paraId="146015C5" w14:textId="77777777" w:rsidR="004D3837" w:rsidRPr="004D3837" w:rsidRDefault="004D3837" w:rsidP="004D3837">
      <w:pPr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4.2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Analyse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importance of two pastoral roles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in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development of pupils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in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placement school</w:t>
      </w:r>
    </w:p>
    <w:p w14:paraId="0C15975F" w14:textId="4B5A4772" w:rsidR="00C83546" w:rsidRPr="004D3837" w:rsidRDefault="00C83546" w:rsidP="00C83546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76D78E15" w14:textId="14812F0C" w:rsidR="00FB4E33" w:rsidRDefault="00FB4E33" w:rsidP="00C83546">
      <w:pPr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2F3727">
        <w:rPr>
          <w:rFonts w:asciiTheme="majorHAnsi" w:hAnsiTheme="majorHAnsi" w:cstheme="majorHAnsi"/>
          <w:b/>
          <w:bCs/>
          <w:color w:val="0070C0"/>
          <w:sz w:val="24"/>
          <w:szCs w:val="24"/>
        </w:rPr>
        <w:t>Recommended Structure</w:t>
      </w:r>
    </w:p>
    <w:p w14:paraId="7DF47E89" w14:textId="2D52440A" w:rsidR="004D3837" w:rsidRPr="00D056F1" w:rsidRDefault="004D3837" w:rsidP="00C83546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0070C0"/>
          <w:sz w:val="24"/>
          <w:szCs w:val="24"/>
          <w:lang w:val="en-GB"/>
        </w:rPr>
        <w:t xml:space="preserve">Part 1: </w:t>
      </w: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(350-500 words) to support ‘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4.1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Examine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key features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of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different pastoral roles</w:t>
      </w:r>
      <w:r w:rsidRPr="004D3837">
        <w:rPr>
          <w:rFonts w:asciiTheme="majorHAnsi" w:hAnsiTheme="majorHAnsi" w:cstheme="majorHAnsi"/>
          <w:sz w:val="24"/>
          <w:szCs w:val="24"/>
          <w:lang w:val="en-GB"/>
        </w:rPr>
        <w:t xml:space="preserve"> within the </w:t>
      </w:r>
      <w:r w:rsidRPr="004D3837">
        <w:rPr>
          <w:rFonts w:asciiTheme="majorHAnsi" w:hAnsiTheme="majorHAnsi" w:cstheme="majorHAnsi"/>
          <w:b/>
          <w:bCs/>
          <w:sz w:val="24"/>
          <w:szCs w:val="24"/>
          <w:lang w:val="en-GB"/>
        </w:rPr>
        <w:t>placement school</w:t>
      </w: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’ use the notes you have collected from your meetings with your placement school’s SENCO, Higher-Ability Lead and/or EAL Lead.</w:t>
      </w:r>
    </w:p>
    <w:p w14:paraId="56BDAE58" w14:textId="530F9CB7" w:rsidR="004D3837" w:rsidRPr="002F3727" w:rsidRDefault="004D3837" w:rsidP="00C83546">
      <w:pPr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>Part 2: (500-750 words)</w:t>
      </w:r>
    </w:p>
    <w:p w14:paraId="71895E34" w14:textId="77777777" w:rsidR="004D3837" w:rsidRPr="004D3837" w:rsidRDefault="004D3837" w:rsidP="004D383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Analysing the Impact of Pastoral Roles on Pupil Development</w:t>
      </w:r>
    </w:p>
    <w:p w14:paraId="3DEFDAC4" w14:textId="77777777" w:rsidR="004D3837" w:rsidRPr="004D3837" w:rsidRDefault="004D3837" w:rsidP="004D383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i/>
          <w:iCs/>
          <w:color w:val="auto"/>
          <w:sz w:val="24"/>
          <w:szCs w:val="24"/>
          <w:lang w:val="en-GB"/>
        </w:rPr>
        <w:t>(Supports: 4.2 – Analysing importance of two pastoral roles)</w:t>
      </w:r>
    </w:p>
    <w:p w14:paraId="35A85E01" w14:textId="77777777" w:rsidR="004D3837" w:rsidRPr="004D3837" w:rsidRDefault="004D3837" w:rsidP="004D3837">
      <w:pPr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Choose two pastoral roles (e.g. SENCO and EAL Lead). How do these roles directly support pupils’ academic progress?</w:t>
      </w:r>
    </w:p>
    <w:p w14:paraId="172B2D2C" w14:textId="77777777" w:rsidR="004D3837" w:rsidRPr="004D3837" w:rsidRDefault="004D3837" w:rsidP="004D3837">
      <w:pPr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How do these roles contribute to pupils’ emotional wellbeing and sense of belonging?</w:t>
      </w:r>
    </w:p>
    <w:p w14:paraId="6E70BE88" w14:textId="77777777" w:rsidR="004D3837" w:rsidRPr="004D3837" w:rsidRDefault="004D3837" w:rsidP="004D3837">
      <w:pPr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What evidence have you observed (e.g. interventions, progress data, pupil voice) that demonstrates the impact of these roles?</w:t>
      </w:r>
    </w:p>
    <w:p w14:paraId="764A6788" w14:textId="77777777" w:rsidR="004D3837" w:rsidRPr="004D3837" w:rsidRDefault="004D3837" w:rsidP="004D3837">
      <w:pPr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How do the selected roles reduce barriers to learning for vulnerable groups of pupils?</w:t>
      </w:r>
    </w:p>
    <w:p w14:paraId="1F72BDA0" w14:textId="77777777" w:rsidR="004D3837" w:rsidRPr="004D3837" w:rsidRDefault="004D3837" w:rsidP="004D3837">
      <w:pPr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What might be the consequences for pupils if these pastoral roles did not exist in the school?</w:t>
      </w:r>
    </w:p>
    <w:p w14:paraId="0FE16849" w14:textId="77777777" w:rsidR="004D3837" w:rsidRPr="004D3837" w:rsidRDefault="004D3837" w:rsidP="004D3837">
      <w:pPr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How do these roles support equality, inclusion and safeguarding within the school?</w:t>
      </w:r>
    </w:p>
    <w:p w14:paraId="556A8518" w14:textId="77777777" w:rsidR="004D3837" w:rsidRPr="004D3837" w:rsidRDefault="004D3837" w:rsidP="004D383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lastRenderedPageBreak/>
        <w:pict w14:anchorId="6713BAAA">
          <v:rect id="_x0000_i1039" style="width:468pt;height:1.5pt" o:hralign="center" o:hrstd="t" o:hr="t" fillcolor="#a0a0a0" stroked="f"/>
        </w:pict>
      </w:r>
    </w:p>
    <w:p w14:paraId="7280DBFB" w14:textId="77777777" w:rsidR="004D3837" w:rsidRPr="004D3837" w:rsidRDefault="004D3837" w:rsidP="004D383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F. Reflective Evaluation</w:t>
      </w:r>
    </w:p>
    <w:p w14:paraId="54842C76" w14:textId="77777777" w:rsidR="004D3837" w:rsidRPr="004D3837" w:rsidRDefault="004D3837" w:rsidP="004D383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i/>
          <w:iCs/>
          <w:color w:val="auto"/>
          <w:sz w:val="24"/>
          <w:szCs w:val="24"/>
          <w:lang w:val="en-GB"/>
        </w:rPr>
        <w:t>(Strengthens analytical depth for 4.2)</w:t>
      </w:r>
    </w:p>
    <w:p w14:paraId="6DAA8381" w14:textId="77777777" w:rsidR="004D3837" w:rsidRPr="004D3837" w:rsidRDefault="004D3837" w:rsidP="004D3837">
      <w:pPr>
        <w:numPr>
          <w:ilvl w:val="0"/>
          <w:numId w:val="21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Which pastoral role do you think has the greatest impact on pupil development in your placement school, and why?</w:t>
      </w:r>
    </w:p>
    <w:p w14:paraId="4183E77F" w14:textId="77777777" w:rsidR="004D3837" w:rsidRPr="004D3837" w:rsidRDefault="004D3837" w:rsidP="004D3837">
      <w:pPr>
        <w:numPr>
          <w:ilvl w:val="0"/>
          <w:numId w:val="21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How has your understanding of inclusive practice changed through observing these roles?</w:t>
      </w:r>
    </w:p>
    <w:p w14:paraId="7C54C1E2" w14:textId="77777777" w:rsidR="004D3837" w:rsidRPr="004D3837" w:rsidRDefault="004D3837" w:rsidP="004D3837">
      <w:pPr>
        <w:numPr>
          <w:ilvl w:val="0"/>
          <w:numId w:val="21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How will your classroom practice be influenced by your awareness of these pastoral roles as a trainee teacher?</w:t>
      </w:r>
    </w:p>
    <w:p w14:paraId="1F8ED77F" w14:textId="0A6BA74C" w:rsidR="004D3837" w:rsidRPr="004D3837" w:rsidRDefault="004D3837" w:rsidP="004D3837">
      <w:pPr>
        <w:numPr>
          <w:ilvl w:val="0"/>
          <w:numId w:val="21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What further training or collaboration might help teachers work more effectively with pastoral leaders?</w:t>
      </w:r>
      <w:r w:rsidRPr="004D383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pict w14:anchorId="7AED0297">
          <v:rect id="_x0000_i1040" style="width:468pt;height:1.5pt" o:hralign="center" o:hrstd="t" o:hr="t" fillcolor="#a0a0a0" stroked="f"/>
        </w:pict>
      </w:r>
    </w:p>
    <w:p w14:paraId="6FBB93D2" w14:textId="77777777" w:rsidR="00E5347B" w:rsidRPr="002F3727" w:rsidRDefault="00E5347B" w:rsidP="00FB4E33">
      <w:pPr>
        <w:pStyle w:val="Heading2"/>
        <w:rPr>
          <w:rFonts w:cstheme="majorHAnsi"/>
          <w:sz w:val="24"/>
          <w:szCs w:val="24"/>
        </w:rPr>
      </w:pPr>
      <w:r w:rsidRPr="002F3727">
        <w:rPr>
          <w:rFonts w:cstheme="majorHAnsi"/>
          <w:sz w:val="24"/>
          <w:szCs w:val="24"/>
        </w:rPr>
        <w:t>Start here:</w:t>
      </w:r>
    </w:p>
    <w:p w14:paraId="14A27C01" w14:textId="0E4381EA" w:rsidR="00471CB8" w:rsidRPr="002F3727" w:rsidRDefault="00471CB8" w:rsidP="00FB4E33">
      <w:pPr>
        <w:pStyle w:val="Heading2"/>
        <w:rPr>
          <w:rFonts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2F3727" w14:paraId="06973EFA" w14:textId="77777777">
        <w:tc>
          <w:tcPr>
            <w:tcW w:w="8640" w:type="dxa"/>
          </w:tcPr>
          <w:p w14:paraId="2005E485" w14:textId="77777777" w:rsidR="00D056F1" w:rsidRPr="004D3837" w:rsidRDefault="00D056F1" w:rsidP="00D056F1">
            <w:pPr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bookmarkStart w:id="0" w:name="_Hlk220070192"/>
            <w:r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 xml:space="preserve">Part 1: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4.1</w:t>
            </w:r>
            <w:r w:rsidRPr="004D383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Examine</w:t>
            </w:r>
            <w:r w:rsidRPr="004D383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the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key features</w:t>
            </w:r>
            <w:r w:rsidRPr="004D383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of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different pastoral roles</w:t>
            </w:r>
            <w:r w:rsidRPr="004D383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within the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placement school</w:t>
            </w:r>
          </w:p>
          <w:p w14:paraId="387BF5F3" w14:textId="1D1C780B" w:rsidR="00471CB8" w:rsidRPr="00D056F1" w:rsidRDefault="00471CB8">
            <w:pPr>
              <w:rPr>
                <w:rFonts w:asciiTheme="majorHAnsi" w:hAnsiTheme="majorHAnsi" w:cstheme="majorHAnsi"/>
                <w:color w:val="969696"/>
                <w:sz w:val="24"/>
                <w:szCs w:val="24"/>
                <w:lang w:val="en-GB"/>
              </w:rPr>
            </w:pPr>
          </w:p>
        </w:tc>
      </w:tr>
      <w:bookmarkEnd w:id="0"/>
    </w:tbl>
    <w:p w14:paraId="3821C724" w14:textId="77777777" w:rsidR="00471CB8" w:rsidRPr="002F3727" w:rsidRDefault="00471CB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056F1" w:rsidRPr="002F3727" w14:paraId="793FC10B" w14:textId="77777777" w:rsidTr="000D58CB">
        <w:tc>
          <w:tcPr>
            <w:tcW w:w="8640" w:type="dxa"/>
          </w:tcPr>
          <w:p w14:paraId="4DB5030E" w14:textId="77777777" w:rsidR="00D056F1" w:rsidRPr="004D3837" w:rsidRDefault="00D056F1" w:rsidP="00D056F1">
            <w:pPr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 xml:space="preserve">Part </w:t>
            </w:r>
            <w:r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 xml:space="preserve">: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4.2</w:t>
            </w:r>
            <w:r w:rsidRPr="004D383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Analyse</w:t>
            </w:r>
            <w:r w:rsidRPr="004D383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the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importance of two pastoral roles</w:t>
            </w:r>
            <w:r w:rsidRPr="004D383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in the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development of pupils</w:t>
            </w:r>
            <w:r w:rsidRPr="004D383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in the </w:t>
            </w:r>
            <w:r w:rsidRPr="004D38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placement school</w:t>
            </w:r>
          </w:p>
          <w:p w14:paraId="17D59EF4" w14:textId="344314A4" w:rsidR="00D056F1" w:rsidRPr="00D056F1" w:rsidRDefault="00D056F1" w:rsidP="000D58CB">
            <w:pPr>
              <w:rPr>
                <w:rFonts w:asciiTheme="majorHAnsi" w:hAnsiTheme="majorHAnsi" w:cstheme="majorHAnsi"/>
                <w:color w:val="969696"/>
                <w:sz w:val="24"/>
                <w:szCs w:val="24"/>
                <w:lang w:val="en-GB"/>
              </w:rPr>
            </w:pPr>
          </w:p>
        </w:tc>
      </w:tr>
    </w:tbl>
    <w:p w14:paraId="33AB20F5" w14:textId="77777777" w:rsidR="00471CB8" w:rsidRPr="002F3727" w:rsidRDefault="00471CB8">
      <w:pPr>
        <w:rPr>
          <w:rFonts w:asciiTheme="majorHAnsi" w:hAnsiTheme="majorHAnsi" w:cstheme="majorHAnsi"/>
          <w:sz w:val="24"/>
          <w:szCs w:val="24"/>
        </w:rPr>
      </w:pPr>
    </w:p>
    <w:sectPr w:rsidR="00471CB8" w:rsidRPr="002F372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5E1F" w14:textId="77777777" w:rsidR="00394F28" w:rsidRDefault="00394F28" w:rsidP="00B510C0">
      <w:pPr>
        <w:spacing w:after="0" w:line="240" w:lineRule="auto"/>
      </w:pPr>
      <w:r>
        <w:separator/>
      </w:r>
    </w:p>
  </w:endnote>
  <w:endnote w:type="continuationSeparator" w:id="0">
    <w:p w14:paraId="74BDA60C" w14:textId="77777777" w:rsidR="00394F28" w:rsidRDefault="00394F28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8DFE" w14:textId="77777777" w:rsidR="00394F28" w:rsidRDefault="00394F28" w:rsidP="00B510C0">
      <w:pPr>
        <w:spacing w:after="0" w:line="240" w:lineRule="auto"/>
      </w:pPr>
      <w:r>
        <w:separator/>
      </w:r>
    </w:p>
  </w:footnote>
  <w:footnote w:type="continuationSeparator" w:id="0">
    <w:p w14:paraId="0298D3F8" w14:textId="77777777" w:rsidR="00394F28" w:rsidRDefault="00394F28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266BDB"/>
    <w:multiLevelType w:val="multilevel"/>
    <w:tmpl w:val="FA10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863B1"/>
    <w:multiLevelType w:val="multilevel"/>
    <w:tmpl w:val="6F8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B7387"/>
    <w:multiLevelType w:val="multilevel"/>
    <w:tmpl w:val="BDA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A03F63"/>
    <w:multiLevelType w:val="multilevel"/>
    <w:tmpl w:val="DB8A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1181C"/>
    <w:multiLevelType w:val="multilevel"/>
    <w:tmpl w:val="2802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F1B6C"/>
    <w:multiLevelType w:val="multilevel"/>
    <w:tmpl w:val="6870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2"/>
  </w:num>
  <w:num w:numId="11" w16cid:durableId="304311754">
    <w:abstractNumId w:val="16"/>
  </w:num>
  <w:num w:numId="12" w16cid:durableId="1076440472">
    <w:abstractNumId w:val="19"/>
  </w:num>
  <w:num w:numId="13" w16cid:durableId="1678313914">
    <w:abstractNumId w:val="18"/>
  </w:num>
  <w:num w:numId="14" w16cid:durableId="2045210421">
    <w:abstractNumId w:val="10"/>
  </w:num>
  <w:num w:numId="15" w16cid:durableId="1499611906">
    <w:abstractNumId w:val="20"/>
  </w:num>
  <w:num w:numId="16" w16cid:durableId="1383989517">
    <w:abstractNumId w:val="21"/>
  </w:num>
  <w:num w:numId="17" w16cid:durableId="645403232">
    <w:abstractNumId w:val="14"/>
  </w:num>
  <w:num w:numId="18" w16cid:durableId="640690756">
    <w:abstractNumId w:val="13"/>
  </w:num>
  <w:num w:numId="19" w16cid:durableId="778837905">
    <w:abstractNumId w:val="17"/>
  </w:num>
  <w:num w:numId="20" w16cid:durableId="606884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8884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8321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E63"/>
    <w:rsid w:val="0006063C"/>
    <w:rsid w:val="00143F3E"/>
    <w:rsid w:val="0015074B"/>
    <w:rsid w:val="001803BE"/>
    <w:rsid w:val="00207629"/>
    <w:rsid w:val="00290A6C"/>
    <w:rsid w:val="0029639D"/>
    <w:rsid w:val="002F3727"/>
    <w:rsid w:val="0031025E"/>
    <w:rsid w:val="00326F90"/>
    <w:rsid w:val="00341E54"/>
    <w:rsid w:val="00342427"/>
    <w:rsid w:val="0038267B"/>
    <w:rsid w:val="00394F28"/>
    <w:rsid w:val="003E6A7F"/>
    <w:rsid w:val="0041261B"/>
    <w:rsid w:val="00430D2F"/>
    <w:rsid w:val="00471CB8"/>
    <w:rsid w:val="004D3837"/>
    <w:rsid w:val="005B1A56"/>
    <w:rsid w:val="006B7672"/>
    <w:rsid w:val="006C101C"/>
    <w:rsid w:val="006C1C4D"/>
    <w:rsid w:val="006F097B"/>
    <w:rsid w:val="007047F0"/>
    <w:rsid w:val="00707499"/>
    <w:rsid w:val="00781B9A"/>
    <w:rsid w:val="0092791C"/>
    <w:rsid w:val="00961F9C"/>
    <w:rsid w:val="009D01BA"/>
    <w:rsid w:val="00A009A0"/>
    <w:rsid w:val="00AA1D8D"/>
    <w:rsid w:val="00AD2515"/>
    <w:rsid w:val="00AE48DB"/>
    <w:rsid w:val="00B47730"/>
    <w:rsid w:val="00B510C0"/>
    <w:rsid w:val="00B84204"/>
    <w:rsid w:val="00BE243C"/>
    <w:rsid w:val="00C83546"/>
    <w:rsid w:val="00CB0664"/>
    <w:rsid w:val="00D056F1"/>
    <w:rsid w:val="00DE26EA"/>
    <w:rsid w:val="00E002B1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F1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2026-01-23T14:18:00Z</dcterms:created>
  <dcterms:modified xsi:type="dcterms:W3CDTF">2026-01-23T14:18:00Z</dcterms:modified>
  <cp:category/>
</cp:coreProperties>
</file>