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456D" w:rsidR="0060456D" w:rsidP="61ECC116" w:rsidRDefault="0060456D" w14:paraId="40DDC9F8" w14:textId="3C583AB4">
      <w:pPr>
        <w:pStyle w:val="Title"/>
        <w:pBdr>
          <w:bottom w:val="single" w:color="4F81BD" w:sz="8" w:space="4"/>
        </w:pBd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 xml:space="preserve">Staff Development Policy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D64A9F" w:rsidTr="21CC3723" w14:paraId="4D291A53" w14:textId="77777777">
        <w:tc>
          <w:tcPr>
            <w:tcW w:w="2160" w:type="dxa"/>
            <w:tcMar/>
          </w:tcPr>
          <w:p w:rsidR="00D64A9F" w:rsidP="61ECC116" w:rsidRDefault="0060456D" w14:paraId="5E17EF00" w14:textId="77777777">
            <w:pPr>
              <w:rPr>
                <w:rFonts w:ascii="Arial" w:hAnsi="Arial" w:eastAsia="Arial" w:cs="Arial"/>
              </w:rPr>
            </w:pPr>
            <w:r w:rsidRPr="61ECC116" w:rsidR="0060456D">
              <w:rPr>
                <w:rFonts w:ascii="Arial" w:hAnsi="Arial" w:eastAsia="Arial" w:cs="Arial"/>
              </w:rPr>
              <w:t>Policy Number</w:t>
            </w:r>
          </w:p>
        </w:tc>
        <w:tc>
          <w:tcPr>
            <w:tcW w:w="2160" w:type="dxa"/>
            <w:tcMar/>
          </w:tcPr>
          <w:p w:rsidR="00D64A9F" w:rsidP="61ECC116" w:rsidRDefault="0060456D" w14:paraId="5738BB13" w14:textId="77777777">
            <w:pPr>
              <w:rPr>
                <w:rFonts w:ascii="Arial" w:hAnsi="Arial" w:eastAsia="Arial" w:cs="Arial"/>
              </w:rPr>
            </w:pPr>
            <w:r w:rsidRPr="61ECC116" w:rsidR="0060456D">
              <w:rPr>
                <w:rFonts w:ascii="Arial" w:hAnsi="Arial" w:eastAsia="Arial" w:cs="Arial"/>
              </w:rPr>
              <w:t>Version</w:t>
            </w:r>
          </w:p>
        </w:tc>
        <w:tc>
          <w:tcPr>
            <w:tcW w:w="2160" w:type="dxa"/>
            <w:tcMar/>
          </w:tcPr>
          <w:p w:rsidR="00D64A9F" w:rsidP="61ECC116" w:rsidRDefault="0060456D" w14:paraId="366DAD35" w14:textId="77777777">
            <w:pPr>
              <w:rPr>
                <w:rFonts w:ascii="Arial" w:hAnsi="Arial" w:eastAsia="Arial" w:cs="Arial"/>
              </w:rPr>
            </w:pPr>
            <w:r w:rsidRPr="61ECC116" w:rsidR="0060456D">
              <w:rPr>
                <w:rFonts w:ascii="Arial" w:hAnsi="Arial" w:eastAsia="Arial" w:cs="Arial"/>
              </w:rPr>
              <w:t>Issue Date</w:t>
            </w:r>
          </w:p>
        </w:tc>
        <w:tc>
          <w:tcPr>
            <w:tcW w:w="2160" w:type="dxa"/>
            <w:tcMar/>
          </w:tcPr>
          <w:p w:rsidR="00D64A9F" w:rsidP="61ECC116" w:rsidRDefault="0060456D" w14:paraId="289A93E9" w14:textId="77777777">
            <w:pPr>
              <w:rPr>
                <w:rFonts w:ascii="Arial" w:hAnsi="Arial" w:eastAsia="Arial" w:cs="Arial"/>
              </w:rPr>
            </w:pPr>
            <w:r w:rsidRPr="61ECC116" w:rsidR="0060456D">
              <w:rPr>
                <w:rFonts w:ascii="Arial" w:hAnsi="Arial" w:eastAsia="Arial" w:cs="Arial"/>
              </w:rPr>
              <w:t>Review Date</w:t>
            </w:r>
          </w:p>
        </w:tc>
      </w:tr>
      <w:tr w:rsidR="00D64A9F" w:rsidTr="21CC3723" w14:paraId="4F366D3A" w14:textId="77777777">
        <w:tc>
          <w:tcPr>
            <w:tcW w:w="2160" w:type="dxa"/>
            <w:tcMar/>
          </w:tcPr>
          <w:p w:rsidR="00D64A9F" w:rsidP="61ECC116" w:rsidRDefault="0060456D" w14:paraId="3CE3C356" w14:textId="19727583">
            <w:pPr>
              <w:rPr>
                <w:rFonts w:ascii="Arial" w:hAnsi="Arial" w:eastAsia="Arial" w:cs="Arial"/>
              </w:rPr>
            </w:pPr>
            <w:r w:rsidRPr="6700FB78" w:rsidR="0060456D">
              <w:rPr>
                <w:rFonts w:ascii="Arial" w:hAnsi="Arial" w:eastAsia="Arial" w:cs="Arial"/>
              </w:rPr>
              <w:t>G2T-HR-03.02.</w:t>
            </w:r>
            <w:r w:rsidRPr="6700FB78" w:rsidR="30454985">
              <w:rPr>
                <w:rFonts w:ascii="Arial" w:hAnsi="Arial" w:eastAsia="Arial" w:cs="Arial"/>
              </w:rPr>
              <w:t>77</w:t>
            </w:r>
          </w:p>
        </w:tc>
        <w:tc>
          <w:tcPr>
            <w:tcW w:w="2160" w:type="dxa"/>
            <w:tcMar/>
          </w:tcPr>
          <w:p w:rsidR="00D64A9F" w:rsidP="61ECC116" w:rsidRDefault="0060456D" w14:paraId="08C98446" w14:textId="3D29F995">
            <w:pPr>
              <w:rPr>
                <w:rFonts w:ascii="Arial" w:hAnsi="Arial" w:eastAsia="Arial" w:cs="Arial"/>
              </w:rPr>
            </w:pPr>
            <w:r w:rsidRPr="61ECC116" w:rsidR="363F2F51">
              <w:rPr>
                <w:rFonts w:ascii="Arial" w:hAnsi="Arial" w:eastAsia="Arial" w:cs="Arial"/>
              </w:rPr>
              <w:t>2</w:t>
            </w:r>
            <w:r w:rsidRPr="61ECC116" w:rsidR="0060456D">
              <w:rPr>
                <w:rFonts w:ascii="Arial" w:hAnsi="Arial" w:eastAsia="Arial" w:cs="Arial"/>
              </w:rPr>
              <w:t>.0</w:t>
            </w:r>
          </w:p>
        </w:tc>
        <w:tc>
          <w:tcPr>
            <w:tcW w:w="2160" w:type="dxa"/>
            <w:tcMar/>
          </w:tcPr>
          <w:p w:rsidR="00D64A9F" w:rsidP="61ECC116" w:rsidRDefault="0060456D" w14:paraId="35E43697" w14:textId="140FC63F">
            <w:pPr>
              <w:rPr>
                <w:rFonts w:ascii="Arial" w:hAnsi="Arial" w:eastAsia="Arial" w:cs="Arial"/>
              </w:rPr>
            </w:pPr>
            <w:r w:rsidRPr="61ECC116" w:rsidR="5D784D93">
              <w:rPr>
                <w:rFonts w:ascii="Arial" w:hAnsi="Arial" w:eastAsia="Arial" w:cs="Arial"/>
              </w:rPr>
              <w:t>23.04.2026</w:t>
            </w:r>
          </w:p>
        </w:tc>
        <w:tc>
          <w:tcPr>
            <w:tcW w:w="2160" w:type="dxa"/>
            <w:tcMar/>
          </w:tcPr>
          <w:p w:rsidR="00D64A9F" w:rsidP="61ECC116" w:rsidRDefault="0060456D" w14:paraId="0F0F0B6F" w14:textId="2535708A">
            <w:pPr>
              <w:rPr>
                <w:rFonts w:ascii="Arial" w:hAnsi="Arial" w:eastAsia="Arial" w:cs="Arial"/>
              </w:rPr>
            </w:pPr>
            <w:r w:rsidRPr="21CC3723" w:rsidR="5D784D93">
              <w:rPr>
                <w:rFonts w:ascii="Arial" w:hAnsi="Arial" w:eastAsia="Arial" w:cs="Arial"/>
              </w:rPr>
              <w:t>2</w:t>
            </w:r>
            <w:r w:rsidRPr="21CC3723" w:rsidR="11FBF9BA">
              <w:rPr>
                <w:rFonts w:ascii="Arial" w:hAnsi="Arial" w:eastAsia="Arial" w:cs="Arial"/>
              </w:rPr>
              <w:t>6</w:t>
            </w:r>
            <w:r w:rsidRPr="21CC3723" w:rsidR="5D784D93">
              <w:rPr>
                <w:rFonts w:ascii="Arial" w:hAnsi="Arial" w:eastAsia="Arial" w:cs="Arial"/>
              </w:rPr>
              <w:t>.0</w:t>
            </w:r>
            <w:r w:rsidRPr="21CC3723" w:rsidR="5270DB8A">
              <w:rPr>
                <w:rFonts w:ascii="Arial" w:hAnsi="Arial" w:eastAsia="Arial" w:cs="Arial"/>
              </w:rPr>
              <w:t>8</w:t>
            </w:r>
            <w:r w:rsidRPr="21CC3723" w:rsidR="5D784D93">
              <w:rPr>
                <w:rFonts w:ascii="Arial" w:hAnsi="Arial" w:eastAsia="Arial" w:cs="Arial"/>
              </w:rPr>
              <w:t>.2026</w:t>
            </w:r>
          </w:p>
        </w:tc>
      </w:tr>
    </w:tbl>
    <w:p w:rsidR="00D64A9F" w:rsidP="61ECC116" w:rsidRDefault="00D64A9F" w14:paraId="760923FB" w14:textId="77777777">
      <w:pPr>
        <w:rPr>
          <w:rFonts w:ascii="Arial" w:hAnsi="Arial" w:eastAsia="Arial" w:cs="Arial"/>
        </w:rPr>
      </w:pPr>
    </w:p>
    <w:p w:rsidR="00D64A9F" w:rsidP="61ECC116" w:rsidRDefault="0060456D" w14:paraId="57B65330" w14:textId="784DBAD0">
      <w:p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 xml:space="preserve">Approved By: </w:t>
      </w:r>
      <w:r w:rsidRPr="61ECC116" w:rsidR="4A3F3FB6">
        <w:rPr>
          <w:rFonts w:ascii="Arial" w:hAnsi="Arial" w:eastAsia="Arial" w:cs="Arial"/>
        </w:rPr>
        <w:t>Course Manager</w:t>
      </w:r>
    </w:p>
    <w:p w:rsidR="00D64A9F" w:rsidP="61ECC116" w:rsidRDefault="0060456D" w14:paraId="50C32739" w14:textId="5835C1F5">
      <w:p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 xml:space="preserve">Owner: </w:t>
      </w:r>
      <w:r w:rsidRPr="61ECC116" w:rsidR="14AA4FFB">
        <w:rPr>
          <w:rFonts w:ascii="Arial" w:hAnsi="Arial" w:eastAsia="Arial" w:cs="Arial"/>
        </w:rPr>
        <w:t xml:space="preserve">Managing </w:t>
      </w:r>
      <w:r w:rsidRPr="61ECC116" w:rsidR="0060456D">
        <w:rPr>
          <w:rFonts w:ascii="Arial" w:hAnsi="Arial" w:eastAsia="Arial" w:cs="Arial"/>
        </w:rPr>
        <w:t xml:space="preserve">Director </w:t>
      </w:r>
    </w:p>
    <w:p w:rsidR="00D64A9F" w:rsidP="61ECC116" w:rsidRDefault="0060456D" w14:paraId="69C4A02E" w14:textId="77777777">
      <w:pPr>
        <w:pStyle w:val="Heading2"/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1. Introduction</w:t>
      </w:r>
    </w:p>
    <w:p w:rsidR="00D64A9F" w:rsidP="61ECC116" w:rsidRDefault="0060456D" w14:paraId="3741E2D2" w14:textId="77777777">
      <w:p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 xml:space="preserve">Grad2Teach is committed to the continuous professional development of all staff to ensure a high-performing, motivated, and skilled workforce that meets both regulatory and </w:t>
      </w:r>
      <w:r w:rsidRPr="61ECC116" w:rsidR="0060456D">
        <w:rPr>
          <w:rFonts w:ascii="Arial" w:hAnsi="Arial" w:eastAsia="Arial" w:cs="Arial"/>
        </w:rPr>
        <w:t>organisational</w:t>
      </w:r>
      <w:r w:rsidRPr="61ECC116" w:rsidR="0060456D">
        <w:rPr>
          <w:rFonts w:ascii="Arial" w:hAnsi="Arial" w:eastAsia="Arial" w:cs="Arial"/>
        </w:rPr>
        <w:t xml:space="preserve"> expectations. This policy outlines our approach to staff induction, training, and ongoing development in alignment with best practice, NCFE </w:t>
      </w:r>
      <w:r w:rsidRPr="61ECC116" w:rsidR="0060456D">
        <w:rPr>
          <w:rFonts w:ascii="Arial" w:hAnsi="Arial" w:eastAsia="Arial" w:cs="Arial"/>
        </w:rPr>
        <w:t>Customised</w:t>
      </w:r>
      <w:r w:rsidRPr="61ECC116" w:rsidR="0060456D">
        <w:rPr>
          <w:rFonts w:ascii="Arial" w:hAnsi="Arial" w:eastAsia="Arial" w:cs="Arial"/>
        </w:rPr>
        <w:t xml:space="preserve"> Qualification criteria, and safer recruitment standards.</w:t>
      </w:r>
    </w:p>
    <w:p w:rsidR="00D64A9F" w:rsidP="61ECC116" w:rsidRDefault="0060456D" w14:paraId="75A77185" w14:textId="77777777">
      <w:pPr>
        <w:pStyle w:val="Heading2"/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2. Policy Scope</w:t>
      </w:r>
    </w:p>
    <w:p w:rsidR="0060456D" w:rsidP="61ECC116" w:rsidRDefault="0060456D" w14:paraId="62C02F07" w14:textId="6A9BA869">
      <w:p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This policy applies to all Grad2Teach staff, including but not limited to:</w:t>
      </w:r>
    </w:p>
    <w:p w:rsidR="0060456D" w:rsidP="61ECC116" w:rsidRDefault="0060456D" w14:paraId="39B2C3D1" w14:textId="77777777">
      <w:pPr>
        <w:pStyle w:val="ListParagraph"/>
        <w:numPr>
          <w:ilvl w:val="0"/>
          <w:numId w:val="10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Partnerships Coordinators (PCs)</w:t>
      </w:r>
    </w:p>
    <w:p w:rsidR="0060456D" w:rsidP="61ECC116" w:rsidRDefault="0060456D" w14:paraId="31344B52" w14:textId="77777777">
      <w:pPr>
        <w:pStyle w:val="ListParagraph"/>
        <w:numPr>
          <w:ilvl w:val="0"/>
          <w:numId w:val="10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Teaching and Learning staff</w:t>
      </w:r>
    </w:p>
    <w:p w:rsidR="0060456D" w:rsidP="61ECC116" w:rsidRDefault="0060456D" w14:paraId="7E788AEF" w14:textId="77777777">
      <w:pPr>
        <w:pStyle w:val="ListParagraph"/>
        <w:numPr>
          <w:ilvl w:val="0"/>
          <w:numId w:val="10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Pastoral staff</w:t>
      </w:r>
    </w:p>
    <w:p w:rsidR="0060456D" w:rsidP="61ECC116" w:rsidRDefault="0060456D" w14:paraId="0D9A1170" w14:textId="77777777">
      <w:pPr>
        <w:pStyle w:val="ListParagraph"/>
        <w:numPr>
          <w:ilvl w:val="0"/>
          <w:numId w:val="10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Internal Quality Assurers (IQAs)</w:t>
      </w:r>
    </w:p>
    <w:p w:rsidR="00D64A9F" w:rsidP="61ECC116" w:rsidRDefault="0060456D" w14:paraId="33BAF65A" w14:textId="47F498E3">
      <w:pPr>
        <w:pStyle w:val="ListParagraph"/>
        <w:numPr>
          <w:ilvl w:val="0"/>
          <w:numId w:val="10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Leadership and administrative personnel</w:t>
      </w:r>
    </w:p>
    <w:p w:rsidR="00D64A9F" w:rsidP="61ECC116" w:rsidRDefault="0060456D" w14:paraId="26899810" w14:textId="77777777">
      <w:pPr>
        <w:pStyle w:val="Heading2"/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3. Aims of the Policy</w:t>
      </w:r>
    </w:p>
    <w:p w:rsidR="0060456D" w:rsidP="61ECC116" w:rsidRDefault="0060456D" w14:paraId="0C8A4111" w14:textId="77777777">
      <w:pPr>
        <w:pStyle w:val="ListParagraph"/>
        <w:numPr>
          <w:ilvl w:val="0"/>
          <w:numId w:val="11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 xml:space="preserve">Ensure all staff receive a structured induction </w:t>
      </w:r>
      <w:r w:rsidRPr="61ECC116" w:rsidR="0060456D">
        <w:rPr>
          <w:rFonts w:ascii="Arial" w:hAnsi="Arial" w:eastAsia="Arial" w:cs="Arial"/>
        </w:rPr>
        <w:t>appropriate to</w:t>
      </w:r>
      <w:r w:rsidRPr="61ECC116" w:rsidR="0060456D">
        <w:rPr>
          <w:rFonts w:ascii="Arial" w:hAnsi="Arial" w:eastAsia="Arial" w:cs="Arial"/>
        </w:rPr>
        <w:t xml:space="preserve"> their role.</w:t>
      </w:r>
    </w:p>
    <w:p w:rsidR="0060456D" w:rsidP="61ECC116" w:rsidRDefault="0060456D" w14:paraId="6973D40B" w14:textId="77777777">
      <w:pPr>
        <w:pStyle w:val="ListParagraph"/>
        <w:numPr>
          <w:ilvl w:val="0"/>
          <w:numId w:val="11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Provide equal access to high-quality training and CPD opportunities.</w:t>
      </w:r>
    </w:p>
    <w:p w:rsidR="0060456D" w:rsidP="61ECC116" w:rsidRDefault="0060456D" w14:paraId="5F2D1C56" w14:textId="77777777">
      <w:pPr>
        <w:pStyle w:val="ListParagraph"/>
        <w:numPr>
          <w:ilvl w:val="0"/>
          <w:numId w:val="11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Prioritise</w:t>
      </w:r>
      <w:r w:rsidRPr="61ECC116" w:rsidR="0060456D">
        <w:rPr>
          <w:rFonts w:ascii="Arial" w:hAnsi="Arial" w:eastAsia="Arial" w:cs="Arial"/>
        </w:rPr>
        <w:t xml:space="preserve"> safeguarding, </w:t>
      </w:r>
      <w:r w:rsidRPr="61ECC116" w:rsidR="0060456D">
        <w:rPr>
          <w:rFonts w:ascii="Arial" w:hAnsi="Arial" w:eastAsia="Arial" w:cs="Arial"/>
        </w:rPr>
        <w:t>safer</w:t>
      </w:r>
      <w:r w:rsidRPr="61ECC116" w:rsidR="0060456D">
        <w:rPr>
          <w:rFonts w:ascii="Arial" w:hAnsi="Arial" w:eastAsia="Arial" w:cs="Arial"/>
        </w:rPr>
        <w:t xml:space="preserve"> recruitment, and sector-specific compliance training.</w:t>
      </w:r>
    </w:p>
    <w:p w:rsidR="0060456D" w:rsidP="61ECC116" w:rsidRDefault="0060456D" w14:paraId="0B039FB9" w14:textId="77777777">
      <w:pPr>
        <w:pStyle w:val="ListParagraph"/>
        <w:numPr>
          <w:ilvl w:val="0"/>
          <w:numId w:val="11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Support performance improvement, role progression, and cross-functional collaboration.</w:t>
      </w:r>
    </w:p>
    <w:p w:rsidR="00D64A9F" w:rsidP="61ECC116" w:rsidRDefault="0060456D" w14:paraId="079B6E97" w14:textId="242A6F7C">
      <w:pPr>
        <w:pStyle w:val="ListParagraph"/>
        <w:numPr>
          <w:ilvl w:val="0"/>
          <w:numId w:val="11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Promote a culture of reflective practice and knowledge sharing.</w:t>
      </w:r>
    </w:p>
    <w:p w:rsidR="00D64A9F" w:rsidP="61ECC116" w:rsidRDefault="0060456D" w14:paraId="70EE42FC" w14:textId="77777777">
      <w:pPr>
        <w:pStyle w:val="Heading2"/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4. Induction and Onboarding</w:t>
      </w:r>
    </w:p>
    <w:p w:rsidR="00D64A9F" w:rsidP="61ECC116" w:rsidRDefault="0060456D" w14:paraId="7F8CBD39" w14:textId="77777777">
      <w:p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 xml:space="preserve">All </w:t>
      </w:r>
      <w:r w:rsidRPr="61ECC116" w:rsidR="0060456D">
        <w:rPr>
          <w:rFonts w:ascii="Arial" w:hAnsi="Arial" w:eastAsia="Arial" w:cs="Arial"/>
        </w:rPr>
        <w:t>new staff</w:t>
      </w:r>
      <w:r w:rsidRPr="61ECC116" w:rsidR="0060456D">
        <w:rPr>
          <w:rFonts w:ascii="Arial" w:hAnsi="Arial" w:eastAsia="Arial" w:cs="Arial"/>
        </w:rPr>
        <w:t xml:space="preserve"> receive a comprehensive onboarding </w:t>
      </w:r>
      <w:r w:rsidRPr="61ECC116" w:rsidR="0060456D">
        <w:rPr>
          <w:rFonts w:ascii="Arial" w:hAnsi="Arial" w:eastAsia="Arial" w:cs="Arial"/>
        </w:rPr>
        <w:t>programme</w:t>
      </w:r>
      <w:r w:rsidRPr="61ECC116" w:rsidR="0060456D">
        <w:rPr>
          <w:rFonts w:ascii="Arial" w:hAnsi="Arial" w:eastAsia="Arial" w:cs="Arial"/>
        </w:rPr>
        <w:t xml:space="preserve"> </w:t>
      </w:r>
      <w:r w:rsidRPr="61ECC116" w:rsidR="0060456D">
        <w:rPr>
          <w:rFonts w:ascii="Arial" w:hAnsi="Arial" w:eastAsia="Arial" w:cs="Arial"/>
        </w:rPr>
        <w:t>appropriate to</w:t>
      </w:r>
      <w:r w:rsidRPr="61ECC116" w:rsidR="0060456D">
        <w:rPr>
          <w:rFonts w:ascii="Arial" w:hAnsi="Arial" w:eastAsia="Arial" w:cs="Arial"/>
        </w:rPr>
        <w:t xml:space="preserve"> their role. For Partnerships Coordinators, this includes:</w:t>
      </w:r>
    </w:p>
    <w:p w:rsidR="0060456D" w:rsidP="61ECC116" w:rsidRDefault="0060456D" w14:paraId="1BBD6465" w14:textId="77777777">
      <w:pPr>
        <w:pStyle w:val="ListParagraph"/>
        <w:numPr>
          <w:ilvl w:val="0"/>
          <w:numId w:val="12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Structured onboarding checklist (</w:t>
      </w:r>
      <w:r w:rsidRPr="61ECC116" w:rsidR="0060456D">
        <w:rPr>
          <w:rFonts w:ascii="Arial" w:hAnsi="Arial" w:eastAsia="Arial" w:cs="Arial"/>
        </w:rPr>
        <w:t>e.g.</w:t>
      </w:r>
      <w:r w:rsidRPr="61ECC116" w:rsidR="0060456D">
        <w:rPr>
          <w:rFonts w:ascii="Arial" w:hAnsi="Arial" w:eastAsia="Arial" w:cs="Arial"/>
        </w:rPr>
        <w:t xml:space="preserve"> HubSpot, sales tools, school/trainee pipeline).</w:t>
      </w:r>
    </w:p>
    <w:p w:rsidR="0060456D" w:rsidP="61ECC116" w:rsidRDefault="0060456D" w14:paraId="0E43BD43" w14:textId="63468E6D">
      <w:pPr>
        <w:pStyle w:val="ListParagraph"/>
        <w:numPr>
          <w:ilvl w:val="0"/>
          <w:numId w:val="12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Familiarisation</w:t>
      </w:r>
      <w:r w:rsidRPr="61ECC116" w:rsidR="0060456D">
        <w:rPr>
          <w:rFonts w:ascii="Arial" w:hAnsi="Arial" w:eastAsia="Arial" w:cs="Arial"/>
        </w:rPr>
        <w:t xml:space="preserve"> with Grad2Teach </w:t>
      </w:r>
      <w:r w:rsidRPr="61ECC116" w:rsidR="0060456D">
        <w:rPr>
          <w:rFonts w:ascii="Arial" w:hAnsi="Arial" w:eastAsia="Arial" w:cs="Arial"/>
        </w:rPr>
        <w:t>programmes</w:t>
      </w:r>
      <w:r w:rsidRPr="61ECC116" w:rsidR="0060456D">
        <w:rPr>
          <w:rFonts w:ascii="Arial" w:hAnsi="Arial" w:eastAsia="Arial" w:cs="Arial"/>
        </w:rPr>
        <w:t xml:space="preserve">, NCFE </w:t>
      </w:r>
      <w:r w:rsidRPr="61ECC116" w:rsidR="1307E2B8">
        <w:rPr>
          <w:rFonts w:ascii="Arial" w:hAnsi="Arial" w:eastAsia="Arial" w:cs="Arial"/>
        </w:rPr>
        <w:t>customised</w:t>
      </w:r>
      <w:r w:rsidRPr="61ECC116" w:rsidR="1307E2B8">
        <w:rPr>
          <w:rFonts w:ascii="Arial" w:hAnsi="Arial" w:eastAsia="Arial" w:cs="Arial"/>
        </w:rPr>
        <w:t xml:space="preserve"> </w:t>
      </w:r>
      <w:r w:rsidRPr="61ECC116" w:rsidR="0060456D">
        <w:rPr>
          <w:rFonts w:ascii="Arial" w:hAnsi="Arial" w:eastAsia="Arial" w:cs="Arial"/>
        </w:rPr>
        <w:t>qualifications, and teacher training phases.</w:t>
      </w:r>
    </w:p>
    <w:p w:rsidR="0060456D" w:rsidP="61ECC116" w:rsidRDefault="0060456D" w14:paraId="4A3DF49D" w14:textId="77777777">
      <w:pPr>
        <w:pStyle w:val="ListParagraph"/>
        <w:numPr>
          <w:ilvl w:val="0"/>
          <w:numId w:val="12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 xml:space="preserve">Shadowing, </w:t>
      </w:r>
      <w:r w:rsidRPr="61ECC116" w:rsidR="0060456D">
        <w:rPr>
          <w:rFonts w:ascii="Arial" w:hAnsi="Arial" w:eastAsia="Arial" w:cs="Arial"/>
        </w:rPr>
        <w:t>observed</w:t>
      </w:r>
      <w:r w:rsidRPr="61ECC116" w:rsidR="0060456D">
        <w:rPr>
          <w:rFonts w:ascii="Arial" w:hAnsi="Arial" w:eastAsia="Arial" w:cs="Arial"/>
        </w:rPr>
        <w:t xml:space="preserve"> tasks, and staged competency assessments.</w:t>
      </w:r>
    </w:p>
    <w:p w:rsidR="00D64A9F" w:rsidP="61ECC116" w:rsidRDefault="0060456D" w14:paraId="55442153" w14:textId="49367BF3">
      <w:pPr>
        <w:pStyle w:val="ListParagraph"/>
        <w:numPr>
          <w:ilvl w:val="0"/>
          <w:numId w:val="12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Technology training (Teams, SharePoint, CRM platforms).</w:t>
      </w:r>
    </w:p>
    <w:p w:rsidR="00D64A9F" w:rsidP="61ECC116" w:rsidRDefault="0060456D" w14:paraId="31BF6377" w14:textId="77777777">
      <w:p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Induction is recorded and tracked to ensure completion and confidence at each stage.</w:t>
      </w:r>
    </w:p>
    <w:p w:rsidR="00D64A9F" w:rsidP="61ECC116" w:rsidRDefault="0060456D" w14:paraId="16579ECE" w14:textId="77777777">
      <w:pPr>
        <w:pStyle w:val="Heading2"/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5. Continuous Professional Development (CPD)</w:t>
      </w:r>
    </w:p>
    <w:p w:rsidR="00D64A9F" w:rsidP="61ECC116" w:rsidRDefault="0060456D" w14:paraId="3A73FEC2" w14:textId="77777777">
      <w:p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 xml:space="preserve">All staff have access to on-demand CPD via </w:t>
      </w:r>
      <w:r w:rsidRPr="61ECC116" w:rsidR="0060456D">
        <w:rPr>
          <w:rFonts w:ascii="Arial" w:hAnsi="Arial" w:eastAsia="Arial" w:cs="Arial"/>
        </w:rPr>
        <w:t>iHASCO</w:t>
      </w:r>
      <w:r w:rsidRPr="61ECC116" w:rsidR="0060456D">
        <w:rPr>
          <w:rFonts w:ascii="Arial" w:hAnsi="Arial" w:eastAsia="Arial" w:cs="Arial"/>
        </w:rPr>
        <w:t xml:space="preserve"> (https://www.ihasco.co.uk/courses), which includes modules in health &amp; safety, safeguarding, compliance, and leadership.</w:t>
      </w:r>
    </w:p>
    <w:p w:rsidR="0060456D" w:rsidP="61ECC116" w:rsidRDefault="0060456D" w14:paraId="14BB3C4A" w14:textId="2ED534D1">
      <w:p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Additional CPD includes:</w:t>
      </w:r>
    </w:p>
    <w:p w:rsidR="0060456D" w:rsidP="61ECC116" w:rsidRDefault="0060456D" w14:paraId="129C97B5" w14:textId="77777777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NCFE-led training for Teaching and Learning team members.</w:t>
      </w:r>
    </w:p>
    <w:p w:rsidR="0060456D" w:rsidP="61ECC116" w:rsidRDefault="0060456D" w14:paraId="450452D5" w14:textId="1805044B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4C63B6BC" w:rsidR="0060456D">
        <w:rPr>
          <w:rFonts w:ascii="Arial" w:hAnsi="Arial" w:eastAsia="Arial" w:cs="Arial"/>
        </w:rPr>
        <w:t>Monthly 1:1</w:t>
      </w:r>
      <w:r w:rsidRPr="4C63B6BC" w:rsidR="29345452">
        <w:rPr>
          <w:rFonts w:ascii="Arial" w:hAnsi="Arial" w:eastAsia="Arial" w:cs="Arial"/>
        </w:rPr>
        <w:t xml:space="preserve"> meeting</w:t>
      </w:r>
      <w:r w:rsidRPr="4C63B6BC" w:rsidR="0060456D">
        <w:rPr>
          <w:rFonts w:ascii="Arial" w:hAnsi="Arial" w:eastAsia="Arial" w:cs="Arial"/>
        </w:rPr>
        <w:t>s for Partnerships Coordinators focused on skill development and progress</w:t>
      </w:r>
      <w:r w:rsidRPr="4C63B6BC" w:rsidR="75F8F569">
        <w:rPr>
          <w:rFonts w:ascii="Arial" w:hAnsi="Arial" w:eastAsia="Arial" w:cs="Arial"/>
        </w:rPr>
        <w:t xml:space="preserve">, in conjunction with weekly, less formal 1:1 </w:t>
      </w:r>
      <w:r w:rsidRPr="4C63B6BC" w:rsidR="75F8F569">
        <w:rPr>
          <w:rFonts w:ascii="Arial" w:hAnsi="Arial" w:eastAsia="Arial" w:cs="Arial"/>
        </w:rPr>
        <w:t>meetings</w:t>
      </w:r>
      <w:r w:rsidRPr="4C63B6BC" w:rsidR="75F8F569">
        <w:rPr>
          <w:rFonts w:ascii="Arial" w:hAnsi="Arial" w:eastAsia="Arial" w:cs="Arial"/>
        </w:rPr>
        <w:t xml:space="preserve"> with Senior Partnerships Coordinators</w:t>
      </w:r>
      <w:r w:rsidRPr="4C63B6BC" w:rsidR="0060456D">
        <w:rPr>
          <w:rFonts w:ascii="Arial" w:hAnsi="Arial" w:eastAsia="Arial" w:cs="Arial"/>
        </w:rPr>
        <w:t>.</w:t>
      </w:r>
    </w:p>
    <w:p w:rsidR="0060456D" w:rsidP="61ECC116" w:rsidRDefault="0060456D" w14:paraId="20105D3A" w14:textId="77777777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Weekly Teaching and Learning &amp; Partnerships meetings to foster cross-team learning and upskilling.</w:t>
      </w:r>
    </w:p>
    <w:p w:rsidR="00D64A9F" w:rsidP="61ECC116" w:rsidRDefault="0060456D" w14:paraId="0F011B9E" w14:textId="5B993844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4C63B6BC" w:rsidR="0060456D">
        <w:rPr>
          <w:rFonts w:ascii="Arial" w:hAnsi="Arial" w:eastAsia="Arial" w:cs="Arial"/>
        </w:rPr>
        <w:t>Regular group CPD and reflective practice sessions to share effective strategies and updates.</w:t>
      </w:r>
    </w:p>
    <w:p w:rsidR="0BCF7605" w:rsidP="4C63B6BC" w:rsidRDefault="0BCF7605" w14:paraId="32CFA1C4" w14:textId="77B1A88A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4C63B6BC" w:rsidR="0BCF7605">
        <w:rPr>
          <w:rFonts w:ascii="Arial" w:hAnsi="Arial" w:eastAsia="Arial" w:cs="Arial"/>
        </w:rPr>
        <w:t xml:space="preserve">Monthly 1:1 </w:t>
      </w:r>
      <w:r w:rsidRPr="4C63B6BC" w:rsidR="0BCF7605">
        <w:rPr>
          <w:rFonts w:ascii="Arial" w:hAnsi="Arial" w:eastAsia="Arial" w:cs="Arial"/>
        </w:rPr>
        <w:t>meetings</w:t>
      </w:r>
      <w:r w:rsidRPr="4C63B6BC" w:rsidR="1615604E">
        <w:rPr>
          <w:rFonts w:ascii="Arial" w:hAnsi="Arial" w:eastAsia="Arial" w:cs="Arial"/>
        </w:rPr>
        <w:t xml:space="preserve"> with Senior Leadership Team and Managing Director</w:t>
      </w:r>
    </w:p>
    <w:p w:rsidR="1615604E" w:rsidP="4C63B6BC" w:rsidRDefault="1615604E" w14:paraId="6AFCB322" w14:textId="49EBC499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4C63B6BC" w:rsidR="1615604E">
        <w:rPr>
          <w:rFonts w:ascii="Arial" w:hAnsi="Arial" w:eastAsia="Arial" w:cs="Arial"/>
        </w:rPr>
        <w:t>Fortnightly Leadership Team meetings between Managing Director, Teaching and Learning Lead, Course Manager, and Senior Partnerships Director.</w:t>
      </w:r>
    </w:p>
    <w:p w:rsidR="1615604E" w:rsidP="4C63B6BC" w:rsidRDefault="1615604E" w14:paraId="5B2D335B" w14:textId="52167CA1">
      <w:pPr>
        <w:pStyle w:val="ListParagraph"/>
        <w:numPr>
          <w:ilvl w:val="0"/>
          <w:numId w:val="13"/>
        </w:numPr>
        <w:rPr>
          <w:rFonts w:ascii="Arial" w:hAnsi="Arial" w:eastAsia="Arial" w:cs="Arial"/>
        </w:rPr>
      </w:pPr>
      <w:r w:rsidRPr="4C63B6BC" w:rsidR="1615604E">
        <w:rPr>
          <w:rFonts w:ascii="Arial" w:hAnsi="Arial" w:eastAsia="Arial" w:cs="Arial"/>
        </w:rPr>
        <w:t>Weekly Directors’ Meeting with Managing Director and Board of Directors.</w:t>
      </w:r>
    </w:p>
    <w:p w:rsidR="0060456D" w:rsidP="61ECC116" w:rsidRDefault="0060456D" w14:paraId="3C236CDD" w14:textId="1962A1D9">
      <w:pPr>
        <w:pStyle w:val="Heading2"/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6. Role-Specific Development</w:t>
      </w:r>
    </w:p>
    <w:p w:rsidR="0060456D" w:rsidP="61ECC116" w:rsidRDefault="0060456D" w14:paraId="2FAF7493" w14:textId="77777777">
      <w:pPr>
        <w:pStyle w:val="ListParagraph"/>
        <w:numPr>
          <w:ilvl w:val="0"/>
          <w:numId w:val="14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 xml:space="preserve">Pastoral Team: </w:t>
      </w:r>
      <w:r w:rsidRPr="61ECC116" w:rsidR="0060456D">
        <w:rPr>
          <w:rFonts w:ascii="Arial" w:hAnsi="Arial" w:eastAsia="Arial" w:cs="Arial"/>
        </w:rPr>
        <w:t>Prioritised</w:t>
      </w:r>
      <w:r w:rsidRPr="61ECC116" w:rsidR="0060456D">
        <w:rPr>
          <w:rFonts w:ascii="Arial" w:hAnsi="Arial" w:eastAsia="Arial" w:cs="Arial"/>
        </w:rPr>
        <w:t xml:space="preserve"> for safeguarding and safer recruitment training due to their school-facing responsibilities.</w:t>
      </w:r>
    </w:p>
    <w:p w:rsidR="0060456D" w:rsidP="61ECC116" w:rsidRDefault="0060456D" w14:paraId="4EBD73A1" w14:textId="77777777">
      <w:pPr>
        <w:pStyle w:val="ListParagraph"/>
        <w:numPr>
          <w:ilvl w:val="0"/>
          <w:numId w:val="14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Teaching and Learning Team: Receive training aligned to NCFE requirements and educational standards.</w:t>
      </w:r>
    </w:p>
    <w:p w:rsidR="00D64A9F" w:rsidP="61ECC116" w:rsidRDefault="0060456D" w14:paraId="1A02869A" w14:textId="7BD252BF">
      <w:pPr>
        <w:pStyle w:val="ListParagraph"/>
        <w:numPr>
          <w:ilvl w:val="0"/>
          <w:numId w:val="14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Leadership: Ally Burrell (NPQH-qualified) provides strategic leadership and supports the ongoing leadership development framework.</w:t>
      </w:r>
    </w:p>
    <w:p w:rsidR="0060456D" w:rsidP="61ECC116" w:rsidRDefault="0060456D" w14:paraId="062503D9" w14:textId="1BE870ED">
      <w:pPr>
        <w:pStyle w:val="Heading2"/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7. Monitoring and Review</w:t>
      </w:r>
    </w:p>
    <w:p w:rsidR="0060456D" w:rsidP="61ECC116" w:rsidRDefault="0060456D" w14:paraId="466FF641" w14:textId="77777777">
      <w:pPr>
        <w:pStyle w:val="ListParagraph"/>
        <w:numPr>
          <w:ilvl w:val="0"/>
          <w:numId w:val="15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 xml:space="preserve">All development activities are </w:t>
      </w:r>
      <w:r w:rsidRPr="61ECC116" w:rsidR="0060456D">
        <w:rPr>
          <w:rFonts w:ascii="Arial" w:hAnsi="Arial" w:eastAsia="Arial" w:cs="Arial"/>
        </w:rPr>
        <w:t>monitored</w:t>
      </w:r>
      <w:r w:rsidRPr="61ECC116" w:rsidR="0060456D">
        <w:rPr>
          <w:rFonts w:ascii="Arial" w:hAnsi="Arial" w:eastAsia="Arial" w:cs="Arial"/>
        </w:rPr>
        <w:t xml:space="preserve"> via line management, CRM systems, and HR oversight.</w:t>
      </w:r>
    </w:p>
    <w:p w:rsidR="0060456D" w:rsidP="61ECC116" w:rsidRDefault="0060456D" w14:paraId="692108E7" w14:textId="77777777">
      <w:pPr>
        <w:pStyle w:val="ListParagraph"/>
        <w:numPr>
          <w:ilvl w:val="0"/>
          <w:numId w:val="15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1:1 meetings and team discussions feed into personal development planning.</w:t>
      </w:r>
    </w:p>
    <w:p w:rsidR="00D64A9F" w:rsidP="61ECC116" w:rsidRDefault="0060456D" w14:paraId="0DCE1106" w14:textId="0B697E5A">
      <w:pPr>
        <w:pStyle w:val="ListParagraph"/>
        <w:numPr>
          <w:ilvl w:val="0"/>
          <w:numId w:val="15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 xml:space="preserve">This policy is reviewed annually, or after any significant </w:t>
      </w:r>
      <w:r w:rsidRPr="61ECC116" w:rsidR="0060456D">
        <w:rPr>
          <w:rFonts w:ascii="Arial" w:hAnsi="Arial" w:eastAsia="Arial" w:cs="Arial"/>
        </w:rPr>
        <w:t>organisational</w:t>
      </w:r>
      <w:r w:rsidRPr="61ECC116" w:rsidR="0060456D">
        <w:rPr>
          <w:rFonts w:ascii="Arial" w:hAnsi="Arial" w:eastAsia="Arial" w:cs="Arial"/>
        </w:rPr>
        <w:t xml:space="preserve"> or regulatory change.</w:t>
      </w:r>
    </w:p>
    <w:p w:rsidR="0060456D" w:rsidP="61ECC116" w:rsidRDefault="0060456D" w14:paraId="17734218" w14:textId="21A1D2F1">
      <w:pPr>
        <w:pStyle w:val="Heading2"/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8. Responsibilities</w:t>
      </w:r>
    </w:p>
    <w:p w:rsidR="0060456D" w:rsidP="61ECC116" w:rsidRDefault="0060456D" w14:paraId="1C7929AC" w14:textId="77777777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Directors and Team Leads: Ensure implementation, tracking, and strategic alignment of development activities.</w:t>
      </w:r>
    </w:p>
    <w:p w:rsidR="00D64A9F" w:rsidP="61ECC116" w:rsidRDefault="0060456D" w14:paraId="1E58535C" w14:textId="7B08D24F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61ECC116" w:rsidR="0060456D">
        <w:rPr>
          <w:rFonts w:ascii="Arial" w:hAnsi="Arial" w:eastAsia="Arial" w:cs="Arial"/>
        </w:rPr>
        <w:t>Staff Members: Engage proactively with development opportunities and feedback processes.</w:t>
      </w:r>
    </w:p>
    <w:sectPr w:rsidR="00D64A9F" w:rsidSect="00034616">
      <w:headerReference w:type="default" r:id="rId11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74E9" w:rsidP="0060456D" w:rsidRDefault="008674E9" w14:paraId="093C58E0" w14:textId="77777777">
      <w:pPr>
        <w:spacing w:after="0" w:line="240" w:lineRule="auto"/>
      </w:pPr>
      <w:r>
        <w:separator/>
      </w:r>
    </w:p>
  </w:endnote>
  <w:endnote w:type="continuationSeparator" w:id="0">
    <w:p w:rsidR="008674E9" w:rsidP="0060456D" w:rsidRDefault="008674E9" w14:paraId="506FD1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74E9" w:rsidP="0060456D" w:rsidRDefault="008674E9" w14:paraId="71D80770" w14:textId="77777777">
      <w:pPr>
        <w:spacing w:after="0" w:line="240" w:lineRule="auto"/>
      </w:pPr>
      <w:r>
        <w:separator/>
      </w:r>
    </w:p>
  </w:footnote>
  <w:footnote w:type="continuationSeparator" w:id="0">
    <w:p w:rsidR="008674E9" w:rsidP="0060456D" w:rsidRDefault="008674E9" w14:paraId="78932DE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0456D" w:rsidRDefault="0060456D" w14:paraId="7191A786" w14:textId="4518F24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13B27C" wp14:editId="1B9597A7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62875" cy="1842135"/>
          <wp:effectExtent l="0" t="0" r="9525" b="5715"/>
          <wp:wrapTight wrapText="bothSides">
            <wp:wrapPolygon edited="0">
              <wp:start x="0" y="0"/>
              <wp:lineTo x="0" y="21444"/>
              <wp:lineTo x="21573" y="21444"/>
              <wp:lineTo x="21573" y="0"/>
              <wp:lineTo x="0" y="0"/>
            </wp:wrapPolygon>
          </wp:wrapTight>
          <wp:docPr id="1" name="Picture 1" descr="A close-up of a red and white pos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red and white poste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2875" cy="184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7174093"/>
    <w:multiLevelType w:val="hybridMultilevel"/>
    <w:tmpl w:val="EE8AB1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CCF0140"/>
    <w:multiLevelType w:val="hybridMultilevel"/>
    <w:tmpl w:val="2778AA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A524FE"/>
    <w:multiLevelType w:val="hybridMultilevel"/>
    <w:tmpl w:val="99BC5E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C806A2"/>
    <w:multiLevelType w:val="hybridMultilevel"/>
    <w:tmpl w:val="66E032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00469C"/>
    <w:multiLevelType w:val="hybridMultilevel"/>
    <w:tmpl w:val="2B0855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29029F"/>
    <w:multiLevelType w:val="hybridMultilevel"/>
    <w:tmpl w:val="5700F4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C57EA3"/>
    <w:multiLevelType w:val="hybridMultilevel"/>
    <w:tmpl w:val="EB0843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5661942">
    <w:abstractNumId w:val="8"/>
  </w:num>
  <w:num w:numId="2" w16cid:durableId="63725490">
    <w:abstractNumId w:val="6"/>
  </w:num>
  <w:num w:numId="3" w16cid:durableId="38479918">
    <w:abstractNumId w:val="5"/>
  </w:num>
  <w:num w:numId="4" w16cid:durableId="583875335">
    <w:abstractNumId w:val="4"/>
  </w:num>
  <w:num w:numId="5" w16cid:durableId="1536844529">
    <w:abstractNumId w:val="7"/>
  </w:num>
  <w:num w:numId="6" w16cid:durableId="1712803864">
    <w:abstractNumId w:val="3"/>
  </w:num>
  <w:num w:numId="7" w16cid:durableId="1137533150">
    <w:abstractNumId w:val="2"/>
  </w:num>
  <w:num w:numId="8" w16cid:durableId="811096648">
    <w:abstractNumId w:val="1"/>
  </w:num>
  <w:num w:numId="9" w16cid:durableId="739212208">
    <w:abstractNumId w:val="0"/>
  </w:num>
  <w:num w:numId="10" w16cid:durableId="981426468">
    <w:abstractNumId w:val="13"/>
  </w:num>
  <w:num w:numId="11" w16cid:durableId="462700650">
    <w:abstractNumId w:val="15"/>
  </w:num>
  <w:num w:numId="12" w16cid:durableId="311447574">
    <w:abstractNumId w:val="11"/>
  </w:num>
  <w:num w:numId="13" w16cid:durableId="542600218">
    <w:abstractNumId w:val="14"/>
  </w:num>
  <w:num w:numId="14" w16cid:durableId="1117063037">
    <w:abstractNumId w:val="9"/>
  </w:num>
  <w:num w:numId="15" w16cid:durableId="482891651">
    <w:abstractNumId w:val="10"/>
  </w:num>
  <w:num w:numId="16" w16cid:durableId="786310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0456D"/>
    <w:rsid w:val="00784D9E"/>
    <w:rsid w:val="008674E9"/>
    <w:rsid w:val="00AA1D8D"/>
    <w:rsid w:val="00B47730"/>
    <w:rsid w:val="00B514FF"/>
    <w:rsid w:val="00C028C4"/>
    <w:rsid w:val="00CB0664"/>
    <w:rsid w:val="00D64A9F"/>
    <w:rsid w:val="00FC693F"/>
    <w:rsid w:val="096B27A8"/>
    <w:rsid w:val="0B1EEB1B"/>
    <w:rsid w:val="0BCF7605"/>
    <w:rsid w:val="11FBF9BA"/>
    <w:rsid w:val="1307E2B8"/>
    <w:rsid w:val="14AA4FFB"/>
    <w:rsid w:val="1615604E"/>
    <w:rsid w:val="21CC3723"/>
    <w:rsid w:val="29345452"/>
    <w:rsid w:val="30454985"/>
    <w:rsid w:val="363F2F51"/>
    <w:rsid w:val="4A3F3FB6"/>
    <w:rsid w:val="4C63B6BC"/>
    <w:rsid w:val="5270DB8A"/>
    <w:rsid w:val="5D784D93"/>
    <w:rsid w:val="61ECC116"/>
    <w:rsid w:val="65FBEBF5"/>
    <w:rsid w:val="6700FB78"/>
    <w:rsid w:val="75F8F569"/>
    <w:rsid w:val="7AE8B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357834"/>
  <w14:defaultImageDpi w14:val="300"/>
  <w15:docId w15:val="{9D4DDC0E-CD4D-49AD-A617-8CB662A8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78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8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5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1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14B20ECE6144FBD50D036D694871E" ma:contentTypeVersion="20" ma:contentTypeDescription="Create a new document." ma:contentTypeScope="" ma:versionID="9f7603a4084cc55b4dcfac64854be724">
  <xsd:schema xmlns:xsd="http://www.w3.org/2001/XMLSchema" xmlns:xs="http://www.w3.org/2001/XMLSchema" xmlns:p="http://schemas.microsoft.com/office/2006/metadata/properties" xmlns:ns2="e5873d33-56ae-40f9-8b97-64a660b0ab54" xmlns:ns3="b3aa22f9-cc7b-464c-a307-4f3ca8762b12" targetNamespace="http://schemas.microsoft.com/office/2006/metadata/properties" ma:root="true" ma:fieldsID="4648b9eb8a037d3779e821281768118f" ns2:_="" ns3:_="">
    <xsd:import namespace="e5873d33-56ae-40f9-8b97-64a660b0ab54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ll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ABnot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3d33-56ae-40f9-8b97-64a660b0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lled" ma:index="14" nillable="true" ma:displayName="Called " ma:default="1" ma:format="Dropdown" ma:internalName="Called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notes" ma:index="21" nillable="true" ma:displayName="AB notes" ma:default="Not checked" ma:description="Alex's notes and/or thoughts" ma:format="Dropdown" ma:internalName="AB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a22f9-cc7b-464c-a307-4f3ca8762b12" xsi:nil="true"/>
    <lcf76f155ced4ddcb4097134ff3c332f xmlns="e5873d33-56ae-40f9-8b97-64a660b0ab54">
      <Terms xmlns="http://schemas.microsoft.com/office/infopath/2007/PartnerControls"/>
    </lcf76f155ced4ddcb4097134ff3c332f>
    <ABnotes xmlns="e5873d33-56ae-40f9-8b97-64a660b0ab54">Not checked</ABnotes>
    <Called xmlns="e5873d33-56ae-40f9-8b97-64a660b0ab54">true</Called>
  </documentManagement>
</p:properties>
</file>

<file path=customXml/itemProps1.xml><?xml version="1.0" encoding="utf-8"?>
<ds:datastoreItem xmlns:ds="http://schemas.openxmlformats.org/officeDocument/2006/customXml" ds:itemID="{DFEC9484-0106-4CD8-AC3B-23C59C775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E5AE8C-E807-4DC8-BAF6-81BD48EAA08C}"/>
</file>

<file path=customXml/itemProps4.xml><?xml version="1.0" encoding="utf-8"?>
<ds:datastoreItem xmlns:ds="http://schemas.openxmlformats.org/officeDocument/2006/customXml" ds:itemID="{DDCC888B-E485-43C5-994F-4FE8B5F2CA6F}">
  <ds:schemaRefs>
    <ds:schemaRef ds:uri="http://schemas.microsoft.com/office/2006/metadata/properties"/>
    <ds:schemaRef ds:uri="http://schemas.microsoft.com/office/infopath/2007/PartnerControls"/>
    <ds:schemaRef ds:uri="65367d0b-6b95-4f86-8389-3282b3846db3"/>
    <ds:schemaRef ds:uri="b3aa22f9-cc7b-464c-a307-4f3ca8762b1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Alex Braithwaite</lastModifiedBy>
  <revision>8</revision>
  <dcterms:created xsi:type="dcterms:W3CDTF">2025-07-23T14:07:00.0000000Z</dcterms:created>
  <dcterms:modified xsi:type="dcterms:W3CDTF">2026-05-01T09:46:19.1838252Z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0x01010019B14B20ECE6144FBD50D036D694871E</vt:lpwstr>
  </property>
  <property fmtid="{D5CDD505-2E9C-101B-9397-08002B2CF9AE}" pid="3" name="MediaServiceImageTags">
    <vt:lpwstr/>
  </property>
</Properties>
</file>