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3A26" w:rsidP="0A5D563B" w:rsidRDefault="004D6380" w14:paraId="7CB9CF05" w14:textId="74CA466B">
      <w:pPr>
        <w:pStyle w:val="Heading1"/>
        <w:rPr>
          <w:rFonts w:ascii="Arial Nova" w:hAnsi="Arial Nova" w:eastAsia="Arial Nova" w:cs="Arial Nova"/>
        </w:rPr>
      </w:pPr>
      <w:r w:rsidRPr="188B9F5A">
        <w:rPr>
          <w:rFonts w:ascii="Arial Nova" w:hAnsi="Arial Nova" w:eastAsia="Arial Nova" w:cs="Arial Nova"/>
        </w:rPr>
        <w:t>RPL, Credit Transfer, and Qualification Withdrawal Policy</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160"/>
        <w:gridCol w:w="2160"/>
        <w:gridCol w:w="2160"/>
        <w:gridCol w:w="2160"/>
      </w:tblGrid>
      <w:tr w:rsidR="0A5D563B" w:rsidTr="7C1B9AFB" w14:paraId="541628D9" w14:textId="77777777">
        <w:trPr>
          <w:trHeight w:val="300"/>
        </w:trPr>
        <w:tc>
          <w:tcPr>
            <w:tcW w:w="2160" w:type="dxa"/>
            <w:tcMar>
              <w:left w:w="105" w:type="dxa"/>
              <w:right w:w="105" w:type="dxa"/>
            </w:tcMar>
          </w:tcPr>
          <w:p w:rsidR="0A5D563B" w:rsidP="0A5D563B" w:rsidRDefault="0A5D563B" w14:paraId="731C44A2" w14:textId="74F24429">
            <w:pPr>
              <w:rPr>
                <w:rFonts w:ascii="Arial" w:hAnsi="Arial" w:eastAsia="Arial" w:cs="Arial"/>
              </w:rPr>
            </w:pPr>
            <w:r w:rsidRPr="0A5D563B">
              <w:rPr>
                <w:rFonts w:ascii="Arial" w:hAnsi="Arial" w:eastAsia="Arial" w:cs="Arial"/>
              </w:rPr>
              <w:t>Policy Number</w:t>
            </w:r>
          </w:p>
        </w:tc>
        <w:tc>
          <w:tcPr>
            <w:tcW w:w="2160" w:type="dxa"/>
            <w:tcMar>
              <w:left w:w="105" w:type="dxa"/>
              <w:right w:w="105" w:type="dxa"/>
            </w:tcMar>
          </w:tcPr>
          <w:p w:rsidR="0A5D563B" w:rsidP="0A5D563B" w:rsidRDefault="0A5D563B" w14:paraId="2A69FBD9" w14:textId="1DD6B9AD">
            <w:pPr>
              <w:rPr>
                <w:rFonts w:ascii="Arial" w:hAnsi="Arial" w:eastAsia="Arial" w:cs="Arial"/>
              </w:rPr>
            </w:pPr>
            <w:r w:rsidRPr="0A5D563B">
              <w:rPr>
                <w:rFonts w:ascii="Arial" w:hAnsi="Arial" w:eastAsia="Arial" w:cs="Arial"/>
              </w:rPr>
              <w:t>Version</w:t>
            </w:r>
          </w:p>
        </w:tc>
        <w:tc>
          <w:tcPr>
            <w:tcW w:w="2160" w:type="dxa"/>
            <w:tcMar>
              <w:left w:w="105" w:type="dxa"/>
              <w:right w:w="105" w:type="dxa"/>
            </w:tcMar>
          </w:tcPr>
          <w:p w:rsidR="0A5D563B" w:rsidP="0A5D563B" w:rsidRDefault="0A5D563B" w14:paraId="35DEB83A" w14:textId="2D00D2DF">
            <w:pPr>
              <w:rPr>
                <w:rFonts w:ascii="Arial" w:hAnsi="Arial" w:eastAsia="Arial" w:cs="Arial"/>
              </w:rPr>
            </w:pPr>
            <w:r w:rsidRPr="0A5D563B">
              <w:rPr>
                <w:rFonts w:ascii="Arial" w:hAnsi="Arial" w:eastAsia="Arial" w:cs="Arial"/>
              </w:rPr>
              <w:t>Issue Date</w:t>
            </w:r>
          </w:p>
        </w:tc>
        <w:tc>
          <w:tcPr>
            <w:tcW w:w="2160" w:type="dxa"/>
            <w:tcMar>
              <w:left w:w="105" w:type="dxa"/>
              <w:right w:w="105" w:type="dxa"/>
            </w:tcMar>
          </w:tcPr>
          <w:p w:rsidR="0A5D563B" w:rsidP="0A5D563B" w:rsidRDefault="0A5D563B" w14:paraId="1D633FDD" w14:textId="42E931BF">
            <w:pPr>
              <w:rPr>
                <w:rFonts w:ascii="Arial" w:hAnsi="Arial" w:eastAsia="Arial" w:cs="Arial"/>
              </w:rPr>
            </w:pPr>
            <w:r w:rsidRPr="0A5D563B">
              <w:rPr>
                <w:rFonts w:ascii="Arial" w:hAnsi="Arial" w:eastAsia="Arial" w:cs="Arial"/>
              </w:rPr>
              <w:t>Review Date</w:t>
            </w:r>
          </w:p>
        </w:tc>
      </w:tr>
      <w:tr w:rsidR="0A5D563B" w:rsidTr="7C1B9AFB" w14:paraId="6B83CDD9" w14:textId="77777777">
        <w:trPr>
          <w:trHeight w:val="300"/>
        </w:trPr>
        <w:tc>
          <w:tcPr>
            <w:tcW w:w="2160" w:type="dxa"/>
            <w:tcMar>
              <w:left w:w="105" w:type="dxa"/>
              <w:right w:w="105" w:type="dxa"/>
            </w:tcMar>
          </w:tcPr>
          <w:p w:rsidR="0A5D563B" w:rsidP="0A5D563B" w:rsidRDefault="0A5D563B" w14:paraId="0605B1C0" w14:textId="51156B16">
            <w:pPr>
              <w:rPr>
                <w:rFonts w:ascii="Arial" w:hAnsi="Arial" w:eastAsia="Arial" w:cs="Arial"/>
              </w:rPr>
            </w:pPr>
            <w:r w:rsidRPr="49E1FBD6" w:rsidR="0A5D563B">
              <w:rPr>
                <w:rFonts w:ascii="Arial" w:hAnsi="Arial" w:eastAsia="Arial" w:cs="Arial"/>
              </w:rPr>
              <w:t>G2T-</w:t>
            </w:r>
            <w:r w:rsidRPr="49E1FBD6" w:rsidR="68DBE6C1">
              <w:rPr>
                <w:rFonts w:ascii="Arial" w:hAnsi="Arial" w:eastAsia="Arial" w:cs="Arial"/>
              </w:rPr>
              <w:t>CR</w:t>
            </w:r>
            <w:r w:rsidRPr="49E1FBD6" w:rsidR="0A5D563B">
              <w:rPr>
                <w:rFonts w:ascii="Arial" w:hAnsi="Arial" w:eastAsia="Arial" w:cs="Arial"/>
              </w:rPr>
              <w:t>T-03.02.</w:t>
            </w:r>
            <w:r w:rsidRPr="49E1FBD6" w:rsidR="43E8C7AC">
              <w:rPr>
                <w:rFonts w:ascii="Arial" w:hAnsi="Arial" w:eastAsia="Arial" w:cs="Arial"/>
              </w:rPr>
              <w:t>7</w:t>
            </w:r>
            <w:r w:rsidRPr="49E1FBD6" w:rsidR="793CAA5A">
              <w:rPr>
                <w:rFonts w:ascii="Arial" w:hAnsi="Arial" w:eastAsia="Arial" w:cs="Arial"/>
              </w:rPr>
              <w:t>5</w:t>
            </w:r>
          </w:p>
        </w:tc>
        <w:tc>
          <w:tcPr>
            <w:tcW w:w="2160" w:type="dxa"/>
            <w:tcMar>
              <w:left w:w="105" w:type="dxa"/>
              <w:right w:w="105" w:type="dxa"/>
            </w:tcMar>
          </w:tcPr>
          <w:p w:rsidR="0A5D563B" w:rsidP="0A5D563B" w:rsidRDefault="0A5D563B" w14:paraId="3E3D3522" w14:textId="4092665B">
            <w:pPr>
              <w:rPr>
                <w:rFonts w:ascii="Arial" w:hAnsi="Arial" w:eastAsia="Arial" w:cs="Arial"/>
              </w:rPr>
            </w:pPr>
            <w:r w:rsidRPr="18D67BC2" w:rsidR="3E5CB188">
              <w:rPr>
                <w:rFonts w:ascii="Arial" w:hAnsi="Arial" w:eastAsia="Arial" w:cs="Arial"/>
              </w:rPr>
              <w:t>2</w:t>
            </w:r>
            <w:r w:rsidRPr="18D67BC2" w:rsidR="0A5D563B">
              <w:rPr>
                <w:rFonts w:ascii="Arial" w:hAnsi="Arial" w:eastAsia="Arial" w:cs="Arial"/>
              </w:rPr>
              <w:t>.1</w:t>
            </w:r>
          </w:p>
        </w:tc>
        <w:tc>
          <w:tcPr>
            <w:tcW w:w="2160" w:type="dxa"/>
            <w:tcMar>
              <w:left w:w="105" w:type="dxa"/>
              <w:right w:w="105" w:type="dxa"/>
            </w:tcMar>
          </w:tcPr>
          <w:p w:rsidR="0A5D563B" w:rsidP="0A5D563B" w:rsidRDefault="0A5D563B" w14:paraId="7BBAFA8F" w14:textId="7489FC4A">
            <w:pPr>
              <w:rPr>
                <w:rFonts w:ascii="Arial" w:hAnsi="Arial" w:eastAsia="Arial" w:cs="Arial"/>
              </w:rPr>
            </w:pPr>
            <w:r w:rsidRPr="18D67BC2" w:rsidR="4FF7B775">
              <w:rPr>
                <w:rFonts w:ascii="Arial" w:hAnsi="Arial" w:eastAsia="Arial" w:cs="Arial"/>
              </w:rPr>
              <w:t>23.04.2026</w:t>
            </w:r>
          </w:p>
        </w:tc>
        <w:tc>
          <w:tcPr>
            <w:tcW w:w="2160" w:type="dxa"/>
            <w:tcMar>
              <w:left w:w="105" w:type="dxa"/>
              <w:right w:w="105" w:type="dxa"/>
            </w:tcMar>
          </w:tcPr>
          <w:p w:rsidR="0A5D563B" w:rsidP="0A5D563B" w:rsidRDefault="0A5D563B" w14:paraId="45195199" w14:textId="6DE1D092">
            <w:pPr>
              <w:rPr>
                <w:rFonts w:ascii="Arial" w:hAnsi="Arial" w:eastAsia="Arial" w:cs="Arial"/>
              </w:rPr>
            </w:pPr>
            <w:r w:rsidRPr="7C1B9AFB" w:rsidR="4FF7B775">
              <w:rPr>
                <w:rFonts w:ascii="Arial" w:hAnsi="Arial" w:eastAsia="Arial" w:cs="Arial"/>
              </w:rPr>
              <w:t>2</w:t>
            </w:r>
            <w:r w:rsidRPr="7C1B9AFB" w:rsidR="19B01CDD">
              <w:rPr>
                <w:rFonts w:ascii="Arial" w:hAnsi="Arial" w:eastAsia="Arial" w:cs="Arial"/>
              </w:rPr>
              <w:t>6</w:t>
            </w:r>
            <w:r w:rsidRPr="7C1B9AFB" w:rsidR="4FF7B775">
              <w:rPr>
                <w:rFonts w:ascii="Arial" w:hAnsi="Arial" w:eastAsia="Arial" w:cs="Arial"/>
              </w:rPr>
              <w:t>.0</w:t>
            </w:r>
            <w:r w:rsidRPr="7C1B9AFB" w:rsidR="6BC6555A">
              <w:rPr>
                <w:rFonts w:ascii="Arial" w:hAnsi="Arial" w:eastAsia="Arial" w:cs="Arial"/>
              </w:rPr>
              <w:t>8</w:t>
            </w:r>
            <w:r w:rsidRPr="7C1B9AFB" w:rsidR="4FF7B775">
              <w:rPr>
                <w:rFonts w:ascii="Arial" w:hAnsi="Arial" w:eastAsia="Arial" w:cs="Arial"/>
              </w:rPr>
              <w:t>.2026</w:t>
            </w:r>
          </w:p>
        </w:tc>
      </w:tr>
    </w:tbl>
    <w:p w:rsidR="009C3A26" w:rsidP="0A5D563B" w:rsidRDefault="009C3A26" w14:paraId="702BA9C5" w14:textId="2DCEA1BD">
      <w:pPr>
        <w:rPr>
          <w:rFonts w:ascii="Arial" w:hAnsi="Arial" w:eastAsia="Arial" w:cs="Arial"/>
          <w:color w:val="000000" w:themeColor="text1"/>
        </w:rPr>
      </w:pPr>
    </w:p>
    <w:p w:rsidR="009C3A26" w:rsidP="0A5D563B" w:rsidRDefault="3AE53AA9" w14:paraId="3B80B50A" w14:textId="1C633AB6">
      <w:pPr>
        <w:rPr>
          <w:rFonts w:ascii="Arial" w:hAnsi="Arial" w:eastAsia="Arial" w:cs="Arial"/>
          <w:color w:val="000000" w:themeColor="text1"/>
        </w:rPr>
      </w:pPr>
      <w:r w:rsidRPr="18D67BC2" w:rsidR="3AE53AA9">
        <w:rPr>
          <w:rFonts w:ascii="Arial" w:hAnsi="Arial" w:eastAsia="Arial" w:cs="Arial"/>
          <w:color w:val="000000" w:themeColor="text1" w:themeTint="FF" w:themeShade="FF"/>
        </w:rPr>
        <w:t xml:space="preserve">Approved By: </w:t>
      </w:r>
      <w:r w:rsidRPr="18D67BC2" w:rsidR="4617F6CE">
        <w:rPr>
          <w:rFonts w:ascii="Arial" w:hAnsi="Arial" w:eastAsia="Arial" w:cs="Arial"/>
          <w:color w:val="000000" w:themeColor="text1" w:themeTint="FF" w:themeShade="FF"/>
        </w:rPr>
        <w:t>Course Manager</w:t>
      </w:r>
    </w:p>
    <w:p w:rsidR="009C3A26" w:rsidP="0A5D563B" w:rsidRDefault="3AE53AA9" w14:paraId="39237316" w14:textId="4D254688">
      <w:r w:rsidRPr="18D67BC2" w:rsidR="3AE53AA9">
        <w:rPr>
          <w:rFonts w:ascii="Arial" w:hAnsi="Arial" w:eastAsia="Arial" w:cs="Arial"/>
          <w:color w:val="000000" w:themeColor="text1" w:themeTint="FF" w:themeShade="FF"/>
        </w:rPr>
        <w:t xml:space="preserve">Owner: </w:t>
      </w:r>
      <w:r w:rsidRPr="18D67BC2" w:rsidR="3322C6EE">
        <w:rPr>
          <w:rFonts w:ascii="Arial" w:hAnsi="Arial" w:eastAsia="Arial" w:cs="Arial"/>
          <w:color w:val="000000" w:themeColor="text1" w:themeTint="FF" w:themeShade="FF"/>
        </w:rPr>
        <w:t xml:space="preserve">Managing </w:t>
      </w:r>
      <w:r w:rsidRPr="18D67BC2" w:rsidR="3AE53AA9">
        <w:rPr>
          <w:rFonts w:ascii="Arial" w:hAnsi="Arial" w:eastAsia="Arial" w:cs="Arial"/>
          <w:color w:val="000000" w:themeColor="text1" w:themeTint="FF" w:themeShade="FF"/>
        </w:rPr>
        <w:t>Director</w:t>
      </w:r>
      <w:r w:rsidRPr="18D67BC2" w:rsidR="3AE53AA9">
        <w:rPr>
          <w:rFonts w:ascii="Arial Nova" w:hAnsi="Arial Nova" w:eastAsia="Arial Nova" w:cs="Arial Nova"/>
        </w:rPr>
        <w:t xml:space="preserve"> </w:t>
      </w:r>
    </w:p>
    <w:p w:rsidR="009C3A26" w:rsidP="0A5D563B" w:rsidRDefault="004D6380" w14:paraId="7F47FC3B" w14:textId="0D49D0DD">
      <w:pPr>
        <w:pStyle w:val="Heading2"/>
        <w:rPr>
          <w:rFonts w:ascii="Arial Nova" w:hAnsi="Arial Nova" w:eastAsia="Arial Nova" w:cs="Arial Nova"/>
        </w:rPr>
      </w:pPr>
      <w:r w:rsidRPr="0A5D563B">
        <w:rPr>
          <w:rFonts w:ascii="Arial Nova" w:hAnsi="Arial Nova" w:eastAsia="Arial Nova" w:cs="Arial Nova"/>
        </w:rPr>
        <w:t>Policy Statement</w:t>
      </w:r>
    </w:p>
    <w:p w:rsidR="009C3A26" w:rsidP="0A5D563B" w:rsidRDefault="004D6380" w14:paraId="07A468BC" w14:textId="77777777">
      <w:pPr>
        <w:rPr>
          <w:rFonts w:ascii="Arial Nova" w:hAnsi="Arial Nova" w:eastAsia="Arial Nova" w:cs="Arial Nova"/>
        </w:rPr>
      </w:pPr>
      <w:r w:rsidRPr="0A5D563B">
        <w:rPr>
          <w:rFonts w:ascii="Arial Nova" w:hAnsi="Arial Nova" w:eastAsia="Arial Nova" w:cs="Arial Nova"/>
        </w:rPr>
        <w:t>This policy outlines the Grad2Teach approach to the Recognition of Prior Learning (RPL), transfer of credits, exemption recording, and withdrawal procedures for Customised Qualifications. It ensures compliance with NCFE’s Customised Qualification Approval Criteria and supports the integrity of qualification achievement.</w:t>
      </w:r>
    </w:p>
    <w:p w:rsidR="009C3A26" w:rsidP="0A5D563B" w:rsidRDefault="004D6380" w14:paraId="4952AD2B" w14:textId="77777777">
      <w:pPr>
        <w:pStyle w:val="Heading2"/>
        <w:rPr>
          <w:rFonts w:ascii="Arial Nova" w:hAnsi="Arial Nova" w:eastAsia="Arial Nova" w:cs="Arial Nova"/>
        </w:rPr>
      </w:pPr>
      <w:r w:rsidRPr="0A5D563B">
        <w:rPr>
          <w:rFonts w:ascii="Arial Nova" w:hAnsi="Arial Nova" w:eastAsia="Arial Nova" w:cs="Arial Nova"/>
        </w:rPr>
        <w:t>Scope</w:t>
      </w:r>
    </w:p>
    <w:p w:rsidR="009C3A26" w:rsidP="0A5D563B" w:rsidRDefault="004D6380" w14:paraId="03CA1F4B" w14:textId="77777777">
      <w:pPr>
        <w:rPr>
          <w:rFonts w:ascii="Arial Nova" w:hAnsi="Arial Nova" w:eastAsia="Arial Nova" w:cs="Arial Nova"/>
        </w:rPr>
      </w:pPr>
      <w:r w:rsidRPr="0A5D563B">
        <w:rPr>
          <w:rFonts w:ascii="Arial Nova" w:hAnsi="Arial Nova" w:eastAsia="Arial Nova" w:cs="Arial Nova"/>
        </w:rPr>
        <w:t>Applies to all:</w:t>
      </w:r>
    </w:p>
    <w:p w:rsidR="004D6380" w:rsidP="0A5D563B" w:rsidRDefault="004D6380" w14:paraId="06EACE78" w14:textId="77777777">
      <w:pPr>
        <w:pStyle w:val="ListParagraph"/>
        <w:numPr>
          <w:ilvl w:val="0"/>
          <w:numId w:val="10"/>
        </w:numPr>
        <w:rPr>
          <w:rFonts w:ascii="Arial Nova" w:hAnsi="Arial Nova" w:eastAsia="Arial Nova" w:cs="Arial Nova"/>
        </w:rPr>
      </w:pPr>
      <w:r w:rsidRPr="0A5D563B">
        <w:rPr>
          <w:rFonts w:ascii="Arial Nova" w:hAnsi="Arial Nova" w:eastAsia="Arial Nova" w:cs="Arial Nova"/>
        </w:rPr>
        <w:t>Learners undertaking NCFE Customised Qualifications delivered by Grad2Teach</w:t>
      </w:r>
    </w:p>
    <w:p w:rsidR="004D6380" w:rsidP="0A5D563B" w:rsidRDefault="004D6380" w14:paraId="63ACD172" w14:textId="77777777">
      <w:pPr>
        <w:pStyle w:val="ListParagraph"/>
        <w:numPr>
          <w:ilvl w:val="0"/>
          <w:numId w:val="10"/>
        </w:numPr>
        <w:rPr>
          <w:rFonts w:ascii="Arial Nova" w:hAnsi="Arial Nova" w:eastAsia="Arial Nova" w:cs="Arial Nova"/>
        </w:rPr>
      </w:pPr>
      <w:r w:rsidRPr="0A5D563B">
        <w:rPr>
          <w:rFonts w:ascii="Arial Nova" w:hAnsi="Arial Nova" w:eastAsia="Arial Nova" w:cs="Arial Nova"/>
        </w:rPr>
        <w:t>Trainees seeking assessment via the Assessment Only Route (AOR)</w:t>
      </w:r>
    </w:p>
    <w:p w:rsidR="009C3A26" w:rsidP="0A5D563B" w:rsidRDefault="004D6380" w14:paraId="074C83EB" w14:textId="6FF34BB8">
      <w:pPr>
        <w:pStyle w:val="ListParagraph"/>
        <w:numPr>
          <w:ilvl w:val="0"/>
          <w:numId w:val="10"/>
        </w:numPr>
        <w:rPr>
          <w:rFonts w:ascii="Arial Nova" w:hAnsi="Arial Nova" w:eastAsia="Arial Nova" w:cs="Arial Nova"/>
        </w:rPr>
      </w:pPr>
      <w:r w:rsidRPr="0A5D563B">
        <w:rPr>
          <w:rFonts w:ascii="Arial Nova" w:hAnsi="Arial Nova" w:eastAsia="Arial Nova" w:cs="Arial Nova"/>
        </w:rPr>
        <w:t>Administrative and academic staff involved in learner admissions, enrolment, assessment, or compliance</w:t>
      </w:r>
    </w:p>
    <w:p w:rsidR="009C3A26" w:rsidP="0A5D563B" w:rsidRDefault="004D6380" w14:paraId="1D6D8093" w14:textId="77777777">
      <w:pPr>
        <w:pStyle w:val="Heading2"/>
        <w:rPr>
          <w:rFonts w:ascii="Arial Nova" w:hAnsi="Arial Nova" w:eastAsia="Arial Nova" w:cs="Arial Nova"/>
        </w:rPr>
      </w:pPr>
      <w:r w:rsidRPr="0A5D563B">
        <w:rPr>
          <w:rFonts w:ascii="Arial Nova" w:hAnsi="Arial Nova" w:eastAsia="Arial Nova" w:cs="Arial Nova"/>
        </w:rPr>
        <w:t>Recognition of Prior Learning (RPL)</w:t>
      </w:r>
    </w:p>
    <w:p w:rsidR="009C3A26" w:rsidP="0A5D563B" w:rsidRDefault="004D6380" w14:paraId="0CEA55B5" w14:textId="77777777">
      <w:pPr>
        <w:rPr>
          <w:rFonts w:ascii="Arial Nova" w:hAnsi="Arial Nova" w:eastAsia="Arial Nova" w:cs="Arial Nova"/>
        </w:rPr>
      </w:pPr>
      <w:r w:rsidRPr="0A5D563B">
        <w:rPr>
          <w:rFonts w:ascii="Arial Nova" w:hAnsi="Arial Nova" w:eastAsia="Arial Nova" w:cs="Arial Nova"/>
        </w:rPr>
        <w:t>Grad2Teach does not accept RPL toward any of its three standalone NCFE Customised Qualifications.</w:t>
      </w:r>
    </w:p>
    <w:p w:rsidR="009C3A26" w:rsidP="0A5D563B" w:rsidRDefault="004D6380" w14:paraId="14E6AD1D" w14:textId="77777777">
      <w:pPr>
        <w:rPr>
          <w:rFonts w:ascii="Arial Nova" w:hAnsi="Arial Nova" w:eastAsia="Arial Nova" w:cs="Arial Nova"/>
        </w:rPr>
      </w:pPr>
      <w:r w:rsidRPr="0A5D563B">
        <w:rPr>
          <w:rFonts w:ascii="Arial Nova" w:hAnsi="Arial Nova" w:eastAsia="Arial Nova" w:cs="Arial Nova"/>
        </w:rPr>
        <w:t>These qualifications are designed as complete, integrated programmes and must be completed in full to ensure coherence and alignment with learning outcomes.</w:t>
      </w:r>
    </w:p>
    <w:p w:rsidR="009C3A26" w:rsidP="0A5D563B" w:rsidRDefault="004D6380" w14:paraId="708BF964" w14:textId="540BBDD1">
      <w:pPr>
        <w:rPr>
          <w:rFonts w:ascii="Arial Nova" w:hAnsi="Arial Nova" w:eastAsia="Arial Nova" w:cs="Arial Nova"/>
        </w:rPr>
      </w:pPr>
      <w:r w:rsidRPr="35039B44" w:rsidR="004D6380">
        <w:rPr>
          <w:rFonts w:ascii="Arial Nova" w:hAnsi="Arial Nova" w:eastAsia="Arial Nova" w:cs="Arial Nova"/>
        </w:rPr>
        <w:t xml:space="preserve">However, prior learning may be considered for Phase 2 of the wider teacher training </w:t>
      </w:r>
      <w:r w:rsidRPr="35039B44" w:rsidR="004D6380">
        <w:rPr>
          <w:rFonts w:ascii="Arial Nova" w:hAnsi="Arial Nova" w:eastAsia="Arial Nova" w:cs="Arial Nova"/>
        </w:rPr>
        <w:t>programme</w:t>
      </w:r>
      <w:r w:rsidRPr="35039B44" w:rsidR="004D6380">
        <w:rPr>
          <w:rFonts w:ascii="Arial Nova" w:hAnsi="Arial Nova" w:eastAsia="Arial Nova" w:cs="Arial Nova"/>
        </w:rPr>
        <w:t xml:space="preserve"> (e.g., </w:t>
      </w:r>
      <w:r w:rsidRPr="35039B44" w:rsidR="7BFE7E0E">
        <w:rPr>
          <w:rFonts w:ascii="Arial Nova" w:hAnsi="Arial Nova" w:eastAsia="Arial Nova" w:cs="Arial Nova"/>
        </w:rPr>
        <w:t xml:space="preserve">QTS </w:t>
      </w:r>
      <w:r w:rsidRPr="35039B44" w:rsidR="004D6380">
        <w:rPr>
          <w:rFonts w:ascii="Arial Nova" w:hAnsi="Arial Nova" w:eastAsia="Arial Nova" w:cs="Arial Nova"/>
        </w:rPr>
        <w:t>via Assessment Only Route). In such cases, recognition is</w:t>
      </w:r>
      <w:r w:rsidRPr="35039B44" w:rsidR="01310B21">
        <w:rPr>
          <w:rFonts w:ascii="Arial Nova" w:hAnsi="Arial Nova" w:eastAsia="Arial Nova" w:cs="Arial Nova"/>
        </w:rPr>
        <w:t xml:space="preserve"> </w:t>
      </w:r>
      <w:r w:rsidRPr="35039B44" w:rsidR="01310B21">
        <w:rPr>
          <w:rFonts w:ascii="Arial Nova" w:hAnsi="Arial Nova" w:eastAsia="Arial Nova" w:cs="Arial Nova"/>
        </w:rPr>
        <w:t>advised on</w:t>
      </w:r>
      <w:r w:rsidRPr="35039B44" w:rsidR="01310B21">
        <w:rPr>
          <w:rFonts w:ascii="Arial Nova" w:hAnsi="Arial Nova" w:eastAsia="Arial Nova" w:cs="Arial Nova"/>
        </w:rPr>
        <w:t xml:space="preserve"> by senior staff at Grad2Teach but</w:t>
      </w:r>
      <w:r w:rsidRPr="35039B44" w:rsidR="004D6380">
        <w:rPr>
          <w:rFonts w:ascii="Arial Nova" w:hAnsi="Arial Nova" w:eastAsia="Arial Nova" w:cs="Arial Nova"/>
        </w:rPr>
        <w:t xml:space="preserve"> handled</w:t>
      </w:r>
      <w:r w:rsidRPr="35039B44" w:rsidR="390C70C8">
        <w:rPr>
          <w:rFonts w:ascii="Arial Nova" w:hAnsi="Arial Nova" w:eastAsia="Arial Nova" w:cs="Arial Nova"/>
        </w:rPr>
        <w:t>,</w:t>
      </w:r>
      <w:r w:rsidRPr="35039B44" w:rsidR="004D6380">
        <w:rPr>
          <w:rFonts w:ascii="Arial Nova" w:hAnsi="Arial Nova" w:eastAsia="Arial Nova" w:cs="Arial Nova"/>
        </w:rPr>
        <w:t xml:space="preserve"> </w:t>
      </w:r>
      <w:r w:rsidRPr="35039B44" w:rsidR="390C70C8">
        <w:rPr>
          <w:rFonts w:ascii="Arial Nova" w:hAnsi="Arial Nova" w:eastAsia="Arial Nova" w:cs="Arial Nova"/>
        </w:rPr>
        <w:t>a</w:t>
      </w:r>
      <w:r w:rsidRPr="35039B44" w:rsidR="390C70C8">
        <w:rPr>
          <w:rFonts w:ascii="Arial Nova" w:hAnsi="Arial Nova" w:eastAsia="Arial Nova" w:cs="Arial Nova"/>
        </w:rPr>
        <w:t>n</w:t>
      </w:r>
      <w:r w:rsidRPr="35039B44" w:rsidR="390C70C8">
        <w:rPr>
          <w:rFonts w:ascii="Arial Nova" w:hAnsi="Arial Nova" w:eastAsia="Arial Nova" w:cs="Arial Nova"/>
        </w:rPr>
        <w:t>d</w:t>
      </w:r>
      <w:r w:rsidRPr="35039B44" w:rsidR="390C70C8">
        <w:rPr>
          <w:rFonts w:ascii="Arial Nova" w:hAnsi="Arial Nova" w:eastAsia="Arial Nova" w:cs="Arial Nova"/>
        </w:rPr>
        <w:t xml:space="preserve"> </w:t>
      </w:r>
      <w:r w:rsidRPr="35039B44" w:rsidR="390C70C8">
        <w:rPr>
          <w:rFonts w:ascii="Arial Nova" w:hAnsi="Arial Nova" w:eastAsia="Arial Nova" w:cs="Arial Nova"/>
        </w:rPr>
        <w:t>u</w:t>
      </w:r>
      <w:r w:rsidRPr="35039B44" w:rsidR="390C70C8">
        <w:rPr>
          <w:rFonts w:ascii="Arial Nova" w:hAnsi="Arial Nova" w:eastAsia="Arial Nova" w:cs="Arial Nova"/>
        </w:rPr>
        <w:t>l</w:t>
      </w:r>
      <w:r w:rsidRPr="35039B44" w:rsidR="390C70C8">
        <w:rPr>
          <w:rFonts w:ascii="Arial Nova" w:hAnsi="Arial Nova" w:eastAsia="Arial Nova" w:cs="Arial Nova"/>
        </w:rPr>
        <w:t>t</w:t>
      </w:r>
      <w:r w:rsidRPr="35039B44" w:rsidR="390C70C8">
        <w:rPr>
          <w:rFonts w:ascii="Arial Nova" w:hAnsi="Arial Nova" w:eastAsia="Arial Nova" w:cs="Arial Nova"/>
        </w:rPr>
        <w:t>i</w:t>
      </w:r>
      <w:r w:rsidRPr="35039B44" w:rsidR="390C70C8">
        <w:rPr>
          <w:rFonts w:ascii="Arial Nova" w:hAnsi="Arial Nova" w:eastAsia="Arial Nova" w:cs="Arial Nova"/>
        </w:rPr>
        <w:t>m</w:t>
      </w:r>
      <w:r w:rsidRPr="35039B44" w:rsidR="390C70C8">
        <w:rPr>
          <w:rFonts w:ascii="Arial Nova" w:hAnsi="Arial Nova" w:eastAsia="Arial Nova" w:cs="Arial Nova"/>
        </w:rPr>
        <w:t>a</w:t>
      </w:r>
      <w:r w:rsidRPr="35039B44" w:rsidR="390C70C8">
        <w:rPr>
          <w:rFonts w:ascii="Arial Nova" w:hAnsi="Arial Nova" w:eastAsia="Arial Nova" w:cs="Arial Nova"/>
        </w:rPr>
        <w:t>t</w:t>
      </w:r>
      <w:r w:rsidRPr="35039B44" w:rsidR="390C70C8">
        <w:rPr>
          <w:rFonts w:ascii="Arial Nova" w:hAnsi="Arial Nova" w:eastAsia="Arial Nova" w:cs="Arial Nova"/>
        </w:rPr>
        <w:t>e</w:t>
      </w:r>
      <w:r w:rsidRPr="35039B44" w:rsidR="390C70C8">
        <w:rPr>
          <w:rFonts w:ascii="Arial Nova" w:hAnsi="Arial Nova" w:eastAsia="Arial Nova" w:cs="Arial Nova"/>
        </w:rPr>
        <w:t>l</w:t>
      </w:r>
      <w:r w:rsidRPr="35039B44" w:rsidR="390C70C8">
        <w:rPr>
          <w:rFonts w:ascii="Arial Nova" w:hAnsi="Arial Nova" w:eastAsia="Arial Nova" w:cs="Arial Nova"/>
        </w:rPr>
        <w:t>y</w:t>
      </w:r>
      <w:r w:rsidRPr="35039B44" w:rsidR="390C70C8">
        <w:rPr>
          <w:rFonts w:ascii="Arial Nova" w:hAnsi="Arial Nova" w:eastAsia="Arial Nova" w:cs="Arial Nova"/>
        </w:rPr>
        <w:t xml:space="preserve"> evaluated</w:t>
      </w:r>
      <w:r w:rsidRPr="35039B44" w:rsidR="004D6380">
        <w:rPr>
          <w:rFonts w:ascii="Arial Nova" w:hAnsi="Arial Nova" w:eastAsia="Arial Nova" w:cs="Arial Nova"/>
        </w:rPr>
        <w:t xml:space="preserve"> </w:t>
      </w:r>
      <w:r w:rsidRPr="35039B44" w:rsidR="004D6380">
        <w:rPr>
          <w:rFonts w:ascii="Arial Nova" w:hAnsi="Arial Nova" w:eastAsia="Arial Nova" w:cs="Arial Nova"/>
        </w:rPr>
        <w:t>by the partner university in line with QTS eligibility, not NCFE.</w:t>
      </w:r>
    </w:p>
    <w:p w:rsidR="009C3A26" w:rsidP="0A5D563B" w:rsidRDefault="004D6380" w14:paraId="44EB5296" w14:textId="77777777">
      <w:pPr>
        <w:pStyle w:val="Heading2"/>
        <w:rPr>
          <w:rFonts w:ascii="Arial Nova" w:hAnsi="Arial Nova" w:eastAsia="Arial Nova" w:cs="Arial Nova"/>
        </w:rPr>
      </w:pPr>
      <w:r w:rsidRPr="0A5D563B">
        <w:rPr>
          <w:rFonts w:ascii="Arial Nova" w:hAnsi="Arial Nova" w:eastAsia="Arial Nova" w:cs="Arial Nova"/>
        </w:rPr>
        <w:t>Transfer of Credit</w:t>
      </w:r>
    </w:p>
    <w:p w:rsidR="009C3A26" w:rsidP="0A5D563B" w:rsidRDefault="004D6380" w14:paraId="12CC15A5" w14:textId="77777777">
      <w:pPr>
        <w:rPr>
          <w:rFonts w:ascii="Arial Nova" w:hAnsi="Arial Nova" w:eastAsia="Arial Nova" w:cs="Arial Nova"/>
        </w:rPr>
      </w:pPr>
      <w:r w:rsidRPr="0A5D563B">
        <w:rPr>
          <w:rFonts w:ascii="Arial Nova" w:hAnsi="Arial Nova" w:eastAsia="Arial Nova" w:cs="Arial Nova"/>
        </w:rPr>
        <w:t>No credit transfers are permitted into Grad2Teach’s Customised Qualifications from other providers or qualifications.</w:t>
      </w:r>
    </w:p>
    <w:p w:rsidR="009C3A26" w:rsidP="0A5D563B" w:rsidRDefault="004D6380" w14:paraId="3A67038E" w14:textId="77777777">
      <w:pPr>
        <w:rPr>
          <w:rFonts w:ascii="Arial Nova" w:hAnsi="Arial Nova" w:eastAsia="Arial Nova" w:cs="Arial Nova"/>
        </w:rPr>
      </w:pPr>
      <w:r w:rsidRPr="0A5D563B">
        <w:rPr>
          <w:rFonts w:ascii="Arial Nova" w:hAnsi="Arial Nova" w:eastAsia="Arial Nova" w:cs="Arial Nova"/>
        </w:rPr>
        <w:lastRenderedPageBreak/>
        <w:t>Learners must complete all units and assessments within the qualification as validated and approved by NCFE.</w:t>
      </w:r>
    </w:p>
    <w:p w:rsidR="009C3A26" w:rsidP="0A5D563B" w:rsidRDefault="004D6380" w14:paraId="1D00234C" w14:textId="77777777">
      <w:pPr>
        <w:pStyle w:val="Heading2"/>
        <w:rPr>
          <w:rFonts w:ascii="Arial Nova" w:hAnsi="Arial Nova" w:eastAsia="Arial Nova" w:cs="Arial Nova"/>
        </w:rPr>
      </w:pPr>
      <w:r w:rsidRPr="0A5D563B">
        <w:rPr>
          <w:rFonts w:ascii="Arial Nova" w:hAnsi="Arial Nova" w:eastAsia="Arial Nova" w:cs="Arial Nova"/>
        </w:rPr>
        <w:t>Exemptions</w:t>
      </w:r>
    </w:p>
    <w:p w:rsidR="009C3A26" w:rsidP="0A5D563B" w:rsidRDefault="004D6380" w14:paraId="2956E3BE" w14:textId="77777777">
      <w:pPr>
        <w:rPr>
          <w:rFonts w:ascii="Arial Nova" w:hAnsi="Arial Nova" w:eastAsia="Arial Nova" w:cs="Arial Nova"/>
        </w:rPr>
      </w:pPr>
      <w:r w:rsidRPr="0A5D563B">
        <w:rPr>
          <w:rFonts w:ascii="Arial Nova" w:hAnsi="Arial Nova" w:eastAsia="Arial Nova" w:cs="Arial Nova"/>
        </w:rPr>
        <w:t>Grad2Teach does not offer exemptions for units, modules, or assessment tasks within its NCFE Customised Qualifications.</w:t>
      </w:r>
    </w:p>
    <w:p w:rsidR="009C3A26" w:rsidP="0A5D563B" w:rsidRDefault="004D6380" w14:paraId="056BAE4B" w14:textId="77777777">
      <w:pPr>
        <w:rPr>
          <w:rFonts w:ascii="Arial Nova" w:hAnsi="Arial Nova" w:eastAsia="Arial Nova" w:cs="Arial Nova"/>
        </w:rPr>
      </w:pPr>
      <w:r w:rsidRPr="0A5D563B">
        <w:rPr>
          <w:rFonts w:ascii="Arial Nova" w:hAnsi="Arial Nova" w:eastAsia="Arial Nova" w:cs="Arial Nova"/>
        </w:rPr>
        <w:t>This ensures all learners are assessed against the same criteria and standards to maintain qualification integrity.</w:t>
      </w:r>
    </w:p>
    <w:p w:rsidR="009C3A26" w:rsidP="0A5D563B" w:rsidRDefault="004D6380" w14:paraId="0F0A248D" w14:textId="77777777">
      <w:pPr>
        <w:pStyle w:val="Heading2"/>
        <w:rPr>
          <w:rFonts w:ascii="Arial Nova" w:hAnsi="Arial Nova" w:eastAsia="Arial Nova" w:cs="Arial Nova"/>
        </w:rPr>
      </w:pPr>
      <w:r w:rsidRPr="0A5D563B">
        <w:rPr>
          <w:rFonts w:ascii="Arial Nova" w:hAnsi="Arial Nova" w:eastAsia="Arial Nova" w:cs="Arial Nova"/>
        </w:rPr>
        <w:t>Withdrawal from Qualification</w:t>
      </w:r>
    </w:p>
    <w:p w:rsidR="009C3A26" w:rsidP="0A5D563B" w:rsidRDefault="004D6380" w14:paraId="1328FCA2" w14:textId="77777777">
      <w:pPr>
        <w:rPr>
          <w:rFonts w:ascii="Arial Nova" w:hAnsi="Arial Nova" w:eastAsia="Arial Nova" w:cs="Arial Nova"/>
        </w:rPr>
      </w:pPr>
      <w:r w:rsidRPr="0A5D563B">
        <w:rPr>
          <w:rFonts w:ascii="Arial Nova" w:hAnsi="Arial Nova" w:eastAsia="Arial Nova" w:cs="Arial Nova"/>
        </w:rPr>
        <w:t>Grad2Teach has a separate Learner Withdrawal Policy which outlines:</w:t>
      </w:r>
    </w:p>
    <w:p w:rsidR="004D6380" w:rsidP="0A5D563B" w:rsidRDefault="004D6380" w14:paraId="52DD975A" w14:textId="77777777">
      <w:pPr>
        <w:pStyle w:val="ListParagraph"/>
        <w:numPr>
          <w:ilvl w:val="0"/>
          <w:numId w:val="11"/>
        </w:numPr>
        <w:rPr>
          <w:rFonts w:ascii="Arial Nova" w:hAnsi="Arial Nova" w:eastAsia="Arial Nova" w:cs="Arial Nova"/>
        </w:rPr>
      </w:pPr>
      <w:r w:rsidRPr="0A5D563B">
        <w:rPr>
          <w:rFonts w:ascii="Arial Nova" w:hAnsi="Arial Nova" w:eastAsia="Arial Nova" w:cs="Arial Nova"/>
        </w:rPr>
        <w:t>How learners or schools may initiate a withdrawal</w:t>
      </w:r>
    </w:p>
    <w:p w:rsidR="004D6380" w:rsidP="0A5D563B" w:rsidRDefault="004D6380" w14:paraId="5D5668E0" w14:textId="77777777">
      <w:pPr>
        <w:pStyle w:val="ListParagraph"/>
        <w:numPr>
          <w:ilvl w:val="0"/>
          <w:numId w:val="11"/>
        </w:numPr>
        <w:rPr>
          <w:rFonts w:ascii="Arial Nova" w:hAnsi="Arial Nova" w:eastAsia="Arial Nova" w:cs="Arial Nova"/>
        </w:rPr>
      </w:pPr>
      <w:r w:rsidRPr="0A5D563B">
        <w:rPr>
          <w:rFonts w:ascii="Arial Nova" w:hAnsi="Arial Nova" w:eastAsia="Arial Nova" w:cs="Arial Nova"/>
        </w:rPr>
        <w:t>Documentation, tracking, and NCFE notification procedures</w:t>
      </w:r>
    </w:p>
    <w:p w:rsidR="009C3A26" w:rsidP="0A5D563B" w:rsidRDefault="004D6380" w14:paraId="4899F508" w14:textId="5086C593">
      <w:pPr>
        <w:pStyle w:val="ListParagraph"/>
        <w:numPr>
          <w:ilvl w:val="0"/>
          <w:numId w:val="11"/>
        </w:numPr>
        <w:rPr>
          <w:rFonts w:ascii="Arial Nova" w:hAnsi="Arial Nova" w:eastAsia="Arial Nova" w:cs="Arial Nova"/>
        </w:rPr>
      </w:pPr>
      <w:r w:rsidRPr="0A5D563B">
        <w:rPr>
          <w:rFonts w:ascii="Arial Nova" w:hAnsi="Arial Nova" w:eastAsia="Arial Nova" w:cs="Arial Nova"/>
        </w:rPr>
        <w:t>Impact on qualification achievement and funding</w:t>
      </w:r>
    </w:p>
    <w:p w:rsidR="009C3A26" w:rsidP="0A5D563B" w:rsidRDefault="004D6380" w14:paraId="555A15FD" w14:textId="77777777">
      <w:pPr>
        <w:pStyle w:val="Heading2"/>
        <w:rPr>
          <w:rFonts w:ascii="Arial Nova" w:hAnsi="Arial Nova" w:eastAsia="Arial Nova" w:cs="Arial Nova"/>
        </w:rPr>
      </w:pPr>
      <w:r w:rsidRPr="0A5D563B">
        <w:rPr>
          <w:rFonts w:ascii="Arial Nova" w:hAnsi="Arial Nova" w:eastAsia="Arial Nova" w:cs="Arial Nova"/>
        </w:rPr>
        <w:t>Withdrawal of a Qualification</w:t>
      </w:r>
    </w:p>
    <w:p w:rsidR="009C3A26" w:rsidP="0A5D563B" w:rsidRDefault="004D6380" w14:paraId="7C0A5BD4" w14:textId="77777777">
      <w:pPr>
        <w:rPr>
          <w:rFonts w:ascii="Arial Nova" w:hAnsi="Arial Nova" w:eastAsia="Arial Nova" w:cs="Arial Nova"/>
        </w:rPr>
      </w:pPr>
      <w:r w:rsidRPr="0A5D563B">
        <w:rPr>
          <w:rFonts w:ascii="Arial Nova" w:hAnsi="Arial Nova" w:eastAsia="Arial Nova" w:cs="Arial Nova"/>
        </w:rPr>
        <w:t>Grad2Teach reserves the right to withdraw a Customised Qualification if:</w:t>
      </w:r>
    </w:p>
    <w:p w:rsidR="004D6380" w:rsidP="0A5D563B" w:rsidRDefault="004D6380" w14:paraId="1803624E" w14:textId="2964CD82">
      <w:pPr>
        <w:pStyle w:val="ListParagraph"/>
        <w:numPr>
          <w:ilvl w:val="0"/>
          <w:numId w:val="12"/>
        </w:numPr>
        <w:rPr>
          <w:rFonts w:ascii="Arial Nova" w:hAnsi="Arial Nova" w:eastAsia="Arial Nova" w:cs="Arial Nova"/>
        </w:rPr>
      </w:pPr>
      <w:r w:rsidRPr="35039B44" w:rsidR="004D6380">
        <w:rPr>
          <w:rFonts w:ascii="Arial Nova" w:hAnsi="Arial Nova" w:eastAsia="Arial Nova" w:cs="Arial Nova"/>
        </w:rPr>
        <w:t xml:space="preserve">The qualification no longer aligns with </w:t>
      </w:r>
      <w:r w:rsidRPr="35039B44" w:rsidR="004D6380">
        <w:rPr>
          <w:rFonts w:ascii="Arial Nova" w:hAnsi="Arial Nova" w:eastAsia="Arial Nova" w:cs="Arial Nova"/>
        </w:rPr>
        <w:t>organisational</w:t>
      </w:r>
      <w:r w:rsidRPr="35039B44" w:rsidR="004D6380">
        <w:rPr>
          <w:rFonts w:ascii="Arial Nova" w:hAnsi="Arial Nova" w:eastAsia="Arial Nova" w:cs="Arial Nova"/>
        </w:rPr>
        <w:t xml:space="preserve"> aims or learner demand</w:t>
      </w:r>
      <w:r w:rsidRPr="35039B44" w:rsidR="5E0E4A23">
        <w:rPr>
          <w:rFonts w:ascii="Arial Nova" w:hAnsi="Arial Nova" w:eastAsia="Arial Nova" w:cs="Arial Nova"/>
        </w:rPr>
        <w:t>.</w:t>
      </w:r>
    </w:p>
    <w:p w:rsidR="004D6380" w:rsidP="0A5D563B" w:rsidRDefault="004D6380" w14:paraId="58E4DEEB" w14:textId="7B065796">
      <w:pPr>
        <w:pStyle w:val="ListParagraph"/>
        <w:numPr>
          <w:ilvl w:val="0"/>
          <w:numId w:val="12"/>
        </w:numPr>
        <w:rPr>
          <w:rFonts w:ascii="Arial Nova" w:hAnsi="Arial Nova" w:eastAsia="Arial Nova" w:cs="Arial Nova"/>
        </w:rPr>
      </w:pPr>
      <w:r w:rsidRPr="35039B44" w:rsidR="004D6380">
        <w:rPr>
          <w:rFonts w:ascii="Arial Nova" w:hAnsi="Arial Nova" w:eastAsia="Arial Nova" w:cs="Arial Nova"/>
        </w:rPr>
        <w:t>There are significant changes in regulatory or NCFE requirements</w:t>
      </w:r>
      <w:r w:rsidRPr="35039B44" w:rsidR="706B4E09">
        <w:rPr>
          <w:rFonts w:ascii="Arial Nova" w:hAnsi="Arial Nova" w:eastAsia="Arial Nova" w:cs="Arial Nova"/>
        </w:rPr>
        <w:t>.</w:t>
      </w:r>
    </w:p>
    <w:p w:rsidR="009C3A26" w:rsidP="0A5D563B" w:rsidRDefault="004D6380" w14:paraId="64DC1C6D" w14:textId="1E2C1AC0">
      <w:pPr>
        <w:pStyle w:val="ListParagraph"/>
        <w:numPr>
          <w:ilvl w:val="0"/>
          <w:numId w:val="12"/>
        </w:numPr>
        <w:rPr>
          <w:rFonts w:ascii="Arial Nova" w:hAnsi="Arial Nova" w:eastAsia="Arial Nova" w:cs="Arial Nova"/>
        </w:rPr>
      </w:pPr>
      <w:r w:rsidRPr="35039B44" w:rsidR="004D6380">
        <w:rPr>
          <w:rFonts w:ascii="Arial Nova" w:hAnsi="Arial Nova" w:eastAsia="Arial Nova" w:cs="Arial Nova"/>
        </w:rPr>
        <w:t xml:space="preserve">It </w:t>
      </w:r>
      <w:r w:rsidRPr="35039B44" w:rsidR="004D6380">
        <w:rPr>
          <w:rFonts w:ascii="Arial Nova" w:hAnsi="Arial Nova" w:eastAsia="Arial Nova" w:cs="Arial Nova"/>
        </w:rPr>
        <w:t>fails to</w:t>
      </w:r>
      <w:r w:rsidRPr="35039B44" w:rsidR="004D6380">
        <w:rPr>
          <w:rFonts w:ascii="Arial Nova" w:hAnsi="Arial Nova" w:eastAsia="Arial Nova" w:cs="Arial Nova"/>
        </w:rPr>
        <w:t xml:space="preserve"> meet internal quality thresholds</w:t>
      </w:r>
      <w:r w:rsidRPr="35039B44" w:rsidR="706B4E09">
        <w:rPr>
          <w:rFonts w:ascii="Arial Nova" w:hAnsi="Arial Nova" w:eastAsia="Arial Nova" w:cs="Arial Nova"/>
        </w:rPr>
        <w:t>.</w:t>
      </w:r>
    </w:p>
    <w:p w:rsidR="009C3A26" w:rsidP="0A5D563B" w:rsidRDefault="004D6380" w14:paraId="6B3B7117" w14:textId="4803D9CF">
      <w:pPr>
        <w:rPr>
          <w:rFonts w:ascii="Arial Nova" w:hAnsi="Arial Nova" w:eastAsia="Arial Nova" w:cs="Arial Nova"/>
        </w:rPr>
      </w:pPr>
      <w:r w:rsidRPr="188B9F5A">
        <w:rPr>
          <w:rFonts w:ascii="Arial Nova" w:hAnsi="Arial Nova" w:eastAsia="Arial Nova" w:cs="Arial Nova"/>
        </w:rPr>
        <w:t xml:space="preserve">NCFE will be notified promptly </w:t>
      </w:r>
      <w:r w:rsidRPr="188B9F5A" w:rsidR="31B67715">
        <w:rPr>
          <w:rFonts w:ascii="Arial Nova" w:hAnsi="Arial Nova" w:eastAsia="Arial Nova" w:cs="Arial Nova"/>
        </w:rPr>
        <w:t xml:space="preserve">by the Exams Officer </w:t>
      </w:r>
      <w:r w:rsidRPr="188B9F5A">
        <w:rPr>
          <w:rFonts w:ascii="Arial Nova" w:hAnsi="Arial Nova" w:eastAsia="Arial Nova" w:cs="Arial Nova"/>
        </w:rPr>
        <w:t>of:</w:t>
      </w:r>
    </w:p>
    <w:p w:rsidR="004D6380" w:rsidP="0A5D563B" w:rsidRDefault="004D6380" w14:paraId="29A976BB" w14:textId="2A857F5F">
      <w:pPr>
        <w:pStyle w:val="ListParagraph"/>
        <w:numPr>
          <w:ilvl w:val="0"/>
          <w:numId w:val="13"/>
        </w:numPr>
        <w:rPr>
          <w:rFonts w:ascii="Arial Nova" w:hAnsi="Arial Nova" w:eastAsia="Arial Nova" w:cs="Arial Nova"/>
        </w:rPr>
      </w:pPr>
      <w:r w:rsidRPr="35039B44" w:rsidR="004D6380">
        <w:rPr>
          <w:rFonts w:ascii="Arial Nova" w:hAnsi="Arial Nova" w:eastAsia="Arial Nova" w:cs="Arial Nova"/>
        </w:rPr>
        <w:t>Any decision to withdraw a qualification</w:t>
      </w:r>
      <w:r w:rsidRPr="35039B44" w:rsidR="74FB11A3">
        <w:rPr>
          <w:rFonts w:ascii="Arial Nova" w:hAnsi="Arial Nova" w:eastAsia="Arial Nova" w:cs="Arial Nova"/>
        </w:rPr>
        <w:t>.</w:t>
      </w:r>
    </w:p>
    <w:p w:rsidR="004D6380" w:rsidP="0A5D563B" w:rsidRDefault="004D6380" w14:paraId="543503E0" w14:textId="702547B6">
      <w:pPr>
        <w:pStyle w:val="ListParagraph"/>
        <w:numPr>
          <w:ilvl w:val="0"/>
          <w:numId w:val="13"/>
        </w:numPr>
        <w:rPr>
          <w:rFonts w:ascii="Arial Nova" w:hAnsi="Arial Nova" w:eastAsia="Arial Nova" w:cs="Arial Nova"/>
        </w:rPr>
      </w:pPr>
      <w:r w:rsidRPr="35039B44" w:rsidR="004D6380">
        <w:rPr>
          <w:rFonts w:ascii="Arial Nova" w:hAnsi="Arial Nova" w:eastAsia="Arial Nova" w:cs="Arial Nova"/>
        </w:rPr>
        <w:t>Impacted</w:t>
      </w:r>
      <w:r w:rsidRPr="35039B44" w:rsidR="004D6380">
        <w:rPr>
          <w:rFonts w:ascii="Arial Nova" w:hAnsi="Arial Nova" w:eastAsia="Arial Nova" w:cs="Arial Nova"/>
        </w:rPr>
        <w:t xml:space="preserve"> learners and transition plans</w:t>
      </w:r>
      <w:r w:rsidRPr="35039B44" w:rsidR="74FB11A3">
        <w:rPr>
          <w:rFonts w:ascii="Arial Nova" w:hAnsi="Arial Nova" w:eastAsia="Arial Nova" w:cs="Arial Nova"/>
        </w:rPr>
        <w:t>.</w:t>
      </w:r>
    </w:p>
    <w:p w:rsidR="009C3A26" w:rsidP="0A5D563B" w:rsidRDefault="004D6380" w14:paraId="1D6D90AB" w14:textId="15BBEF15">
      <w:pPr>
        <w:pStyle w:val="ListParagraph"/>
        <w:numPr>
          <w:ilvl w:val="0"/>
          <w:numId w:val="13"/>
        </w:numPr>
        <w:rPr>
          <w:rFonts w:ascii="Arial Nova" w:hAnsi="Arial Nova" w:eastAsia="Arial Nova" w:cs="Arial Nova"/>
        </w:rPr>
      </w:pPr>
      <w:r w:rsidRPr="35039B44" w:rsidR="004D6380">
        <w:rPr>
          <w:rFonts w:ascii="Arial Nova" w:hAnsi="Arial Nova" w:eastAsia="Arial Nova" w:cs="Arial Nova"/>
        </w:rPr>
        <w:t>Timescales for final assessment and certification</w:t>
      </w:r>
      <w:r w:rsidRPr="35039B44" w:rsidR="371A23C2">
        <w:rPr>
          <w:rFonts w:ascii="Arial Nova" w:hAnsi="Arial Nova" w:eastAsia="Arial Nova" w:cs="Arial Nova"/>
        </w:rPr>
        <w:t>.</w:t>
      </w:r>
    </w:p>
    <w:p w:rsidR="009C3A26" w:rsidP="0A5D563B" w:rsidRDefault="004D6380" w14:paraId="0F53B3DC" w14:textId="77777777">
      <w:pPr>
        <w:rPr>
          <w:rFonts w:ascii="Arial Nova" w:hAnsi="Arial Nova" w:eastAsia="Arial Nova" w:cs="Arial Nova"/>
        </w:rPr>
      </w:pPr>
      <w:r w:rsidRPr="0A5D563B">
        <w:rPr>
          <w:rFonts w:ascii="Arial Nova" w:hAnsi="Arial Nova" w:eastAsia="Arial Nova" w:cs="Arial Nova"/>
        </w:rPr>
        <w:t>Learners already enrolled will be supported to complete the programme where feasible, or transferred to an appropriate alternative (if applicable).</w:t>
      </w:r>
    </w:p>
    <w:p w:rsidR="009C3A26" w:rsidP="0A5D563B" w:rsidRDefault="004D6380" w14:paraId="1927BA31" w14:textId="77777777">
      <w:pPr>
        <w:pStyle w:val="Heading2"/>
        <w:rPr>
          <w:rFonts w:ascii="Arial Nova" w:hAnsi="Arial Nova" w:eastAsia="Arial Nova" w:cs="Arial Nova"/>
        </w:rPr>
      </w:pPr>
      <w:r w:rsidRPr="0A5D563B">
        <w:rPr>
          <w:rFonts w:ascii="Arial Nova" w:hAnsi="Arial Nova" w:eastAsia="Arial Nova" w:cs="Arial Nova"/>
        </w:rPr>
        <w:t>Review</w:t>
      </w:r>
    </w:p>
    <w:p w:rsidR="009C3A26" w:rsidP="0A5D563B" w:rsidRDefault="004D6380" w14:paraId="241EB747" w14:textId="77777777">
      <w:pPr>
        <w:rPr>
          <w:rFonts w:ascii="Arial Nova" w:hAnsi="Arial Nova" w:eastAsia="Arial Nova" w:cs="Arial Nova"/>
        </w:rPr>
      </w:pPr>
      <w:r w:rsidRPr="0A5D563B">
        <w:rPr>
          <w:rFonts w:ascii="Arial Nova" w:hAnsi="Arial Nova" w:eastAsia="Arial Nova" w:cs="Arial Nova"/>
        </w:rPr>
        <w:t>This policy is reviewed annually, or upon changes to:</w:t>
      </w:r>
    </w:p>
    <w:p w:rsidR="004D6380" w:rsidP="0A5D563B" w:rsidRDefault="004D6380" w14:paraId="56CFDE14" w14:textId="77777777">
      <w:pPr>
        <w:pStyle w:val="ListParagraph"/>
        <w:numPr>
          <w:ilvl w:val="0"/>
          <w:numId w:val="14"/>
        </w:numPr>
        <w:rPr>
          <w:rFonts w:ascii="Arial Nova" w:hAnsi="Arial Nova" w:eastAsia="Arial Nova" w:cs="Arial Nova"/>
        </w:rPr>
      </w:pPr>
      <w:r w:rsidRPr="0A5D563B">
        <w:rPr>
          <w:rFonts w:ascii="Arial Nova" w:hAnsi="Arial Nova" w:eastAsia="Arial Nova" w:cs="Arial Nova"/>
        </w:rPr>
        <w:t>NCFE guidelines</w:t>
      </w:r>
    </w:p>
    <w:p w:rsidR="004D6380" w:rsidP="0A5D563B" w:rsidRDefault="004D6380" w14:paraId="2C408AD5" w14:textId="77777777">
      <w:pPr>
        <w:pStyle w:val="ListParagraph"/>
        <w:numPr>
          <w:ilvl w:val="0"/>
          <w:numId w:val="14"/>
        </w:numPr>
        <w:rPr>
          <w:rFonts w:ascii="Arial Nova" w:hAnsi="Arial Nova" w:eastAsia="Arial Nova" w:cs="Arial Nova"/>
        </w:rPr>
      </w:pPr>
      <w:r w:rsidRPr="0A5D563B">
        <w:rPr>
          <w:rFonts w:ascii="Arial Nova" w:hAnsi="Arial Nova" w:eastAsia="Arial Nova" w:cs="Arial Nova"/>
        </w:rPr>
        <w:t>Internal qualification design</w:t>
      </w:r>
    </w:p>
    <w:p w:rsidR="009C3A26" w:rsidP="0A5D563B" w:rsidRDefault="004D6380" w14:paraId="639B7C58" w14:textId="758FE491">
      <w:pPr>
        <w:pStyle w:val="ListParagraph"/>
        <w:numPr>
          <w:ilvl w:val="0"/>
          <w:numId w:val="14"/>
        </w:numPr>
        <w:rPr>
          <w:rFonts w:ascii="Arial Nova" w:hAnsi="Arial Nova" w:eastAsia="Arial Nova" w:cs="Arial Nova"/>
        </w:rPr>
      </w:pPr>
      <w:r w:rsidRPr="0A5D563B">
        <w:rPr>
          <w:rFonts w:ascii="Arial Nova" w:hAnsi="Arial Nova" w:eastAsia="Arial Nova" w:cs="Arial Nova"/>
        </w:rPr>
        <w:t>Stakeholder or regulatory feedback</w:t>
      </w:r>
    </w:p>
    <w:sectPr w:rsidR="009C3A26" w:rsidSect="00034616">
      <w:headerReference w:type="default" r:id="rId11"/>
      <w:pgSz w:w="12240" w:h="15840"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29FB" w:rsidP="004D6380" w:rsidRDefault="000F29FB" w14:paraId="34193CE5" w14:textId="77777777">
      <w:pPr>
        <w:spacing w:after="0" w:line="240" w:lineRule="auto"/>
      </w:pPr>
      <w:r>
        <w:separator/>
      </w:r>
    </w:p>
  </w:endnote>
  <w:endnote w:type="continuationSeparator" w:id="0">
    <w:p w:rsidR="000F29FB" w:rsidP="004D6380" w:rsidRDefault="000F29FB" w14:paraId="4752EF3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29FB" w:rsidP="004D6380" w:rsidRDefault="000F29FB" w14:paraId="34C5D3B8" w14:textId="77777777">
      <w:pPr>
        <w:spacing w:after="0" w:line="240" w:lineRule="auto"/>
      </w:pPr>
      <w:r>
        <w:separator/>
      </w:r>
    </w:p>
  </w:footnote>
  <w:footnote w:type="continuationSeparator" w:id="0">
    <w:p w:rsidR="000F29FB" w:rsidP="004D6380" w:rsidRDefault="000F29FB" w14:paraId="6176981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D6380" w:rsidRDefault="004D6380" w14:paraId="7840CF13" w14:textId="14F3EF99">
    <w:pPr>
      <w:pStyle w:val="Header"/>
    </w:pPr>
    <w:r>
      <w:rPr>
        <w:noProof/>
      </w:rPr>
      <w:drawing>
        <wp:anchor distT="0" distB="0" distL="114300" distR="114300" simplePos="0" relativeHeight="251659264" behindDoc="1" locked="0" layoutInCell="1" allowOverlap="1" wp14:anchorId="6D3B74A8" wp14:editId="28871BFC">
          <wp:simplePos x="0" y="0"/>
          <wp:positionH relativeFrom="column">
            <wp:posOffset>-1143000</wp:posOffset>
          </wp:positionH>
          <wp:positionV relativeFrom="paragraph">
            <wp:posOffset>-457200</wp:posOffset>
          </wp:positionV>
          <wp:extent cx="7771130" cy="1914525"/>
          <wp:effectExtent l="0" t="0" r="1270" b="9525"/>
          <wp:wrapTight wrapText="bothSides">
            <wp:wrapPolygon edited="0">
              <wp:start x="0" y="0"/>
              <wp:lineTo x="0" y="21493"/>
              <wp:lineTo x="21551" y="21493"/>
              <wp:lineTo x="21551" y="0"/>
              <wp:lineTo x="0" y="0"/>
            </wp:wrapPolygon>
          </wp:wrapTight>
          <wp:docPr id="110076917" name="Picture 1" descr="A red and white sign with white tex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and white sign with white text,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1130" cy="19145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24311BDC"/>
    <w:multiLevelType w:val="hybridMultilevel"/>
    <w:tmpl w:val="0414D1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3FD3AB1"/>
    <w:multiLevelType w:val="hybridMultilevel"/>
    <w:tmpl w:val="CE2CE3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5800037"/>
    <w:multiLevelType w:val="hybridMultilevel"/>
    <w:tmpl w:val="B56C98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89E0D4D"/>
    <w:multiLevelType w:val="hybridMultilevel"/>
    <w:tmpl w:val="0A223F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A2F38DF"/>
    <w:multiLevelType w:val="hybridMultilevel"/>
    <w:tmpl w:val="0DA86B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97667999">
    <w:abstractNumId w:val="8"/>
  </w:num>
  <w:num w:numId="2" w16cid:durableId="943653982">
    <w:abstractNumId w:val="6"/>
  </w:num>
  <w:num w:numId="3" w16cid:durableId="685138379">
    <w:abstractNumId w:val="5"/>
  </w:num>
  <w:num w:numId="4" w16cid:durableId="518004180">
    <w:abstractNumId w:val="4"/>
  </w:num>
  <w:num w:numId="5" w16cid:durableId="1968461813">
    <w:abstractNumId w:val="7"/>
  </w:num>
  <w:num w:numId="6" w16cid:durableId="91971638">
    <w:abstractNumId w:val="3"/>
  </w:num>
  <w:num w:numId="7" w16cid:durableId="1558659501">
    <w:abstractNumId w:val="2"/>
  </w:num>
  <w:num w:numId="8" w16cid:durableId="1368601472">
    <w:abstractNumId w:val="1"/>
  </w:num>
  <w:num w:numId="9" w16cid:durableId="672297827">
    <w:abstractNumId w:val="0"/>
  </w:num>
  <w:num w:numId="10" w16cid:durableId="2024283357">
    <w:abstractNumId w:val="13"/>
  </w:num>
  <w:num w:numId="11" w16cid:durableId="375200944">
    <w:abstractNumId w:val="11"/>
  </w:num>
  <w:num w:numId="12" w16cid:durableId="2053116246">
    <w:abstractNumId w:val="12"/>
  </w:num>
  <w:num w:numId="13" w16cid:durableId="307561369">
    <w:abstractNumId w:val="10"/>
  </w:num>
  <w:num w:numId="14" w16cid:durableId="7832294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29FB"/>
    <w:rsid w:val="0015074B"/>
    <w:rsid w:val="0027648B"/>
    <w:rsid w:val="0029639D"/>
    <w:rsid w:val="00326F90"/>
    <w:rsid w:val="00413BAA"/>
    <w:rsid w:val="004D6380"/>
    <w:rsid w:val="005446A1"/>
    <w:rsid w:val="009C3A26"/>
    <w:rsid w:val="00AA1D8D"/>
    <w:rsid w:val="00B47730"/>
    <w:rsid w:val="00CB0664"/>
    <w:rsid w:val="00FC693F"/>
    <w:rsid w:val="01310B21"/>
    <w:rsid w:val="0A5D563B"/>
    <w:rsid w:val="0C477A60"/>
    <w:rsid w:val="188B9F5A"/>
    <w:rsid w:val="18D67BC2"/>
    <w:rsid w:val="19B01CDD"/>
    <w:rsid w:val="2853054A"/>
    <w:rsid w:val="31B67715"/>
    <w:rsid w:val="3322C6EE"/>
    <w:rsid w:val="35039B44"/>
    <w:rsid w:val="371A23C2"/>
    <w:rsid w:val="390C70C8"/>
    <w:rsid w:val="3AE53AA9"/>
    <w:rsid w:val="3E5CB188"/>
    <w:rsid w:val="43E8C7AC"/>
    <w:rsid w:val="4617F6CE"/>
    <w:rsid w:val="49E1FBD6"/>
    <w:rsid w:val="4FE9F6C8"/>
    <w:rsid w:val="4FF7B775"/>
    <w:rsid w:val="5E0E4A23"/>
    <w:rsid w:val="68DBE6C1"/>
    <w:rsid w:val="6BC6555A"/>
    <w:rsid w:val="70076780"/>
    <w:rsid w:val="706B4E09"/>
    <w:rsid w:val="715FAD47"/>
    <w:rsid w:val="74FB11A3"/>
    <w:rsid w:val="793CAA5A"/>
    <w:rsid w:val="7BE71420"/>
    <w:rsid w:val="7BFE7E0E"/>
    <w:rsid w:val="7C1B9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8ACC8E"/>
  <w14:defaultImageDpi w14:val="300"/>
  <w15:docId w15:val="{2B368FDE-4298-437A-B366-27AA140A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aa22f9-cc7b-464c-a307-4f3ca8762b12" xsi:nil="true"/>
    <lcf76f155ced4ddcb4097134ff3c332f xmlns="e5873d33-56ae-40f9-8b97-64a660b0ab54">
      <Terms xmlns="http://schemas.microsoft.com/office/infopath/2007/PartnerControls"/>
    </lcf76f155ced4ddcb4097134ff3c332f>
    <ABnotes xmlns="e5873d33-56ae-40f9-8b97-64a660b0ab54">Not checked</ABnotes>
    <Called xmlns="e5873d33-56ae-40f9-8b97-64a660b0ab54">true</Call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9B14B20ECE6144FBD50D036D694871E" ma:contentTypeVersion="20" ma:contentTypeDescription="Create a new document." ma:contentTypeScope="" ma:versionID="9f7603a4084cc55b4dcfac64854be724">
  <xsd:schema xmlns:xsd="http://www.w3.org/2001/XMLSchema" xmlns:xs="http://www.w3.org/2001/XMLSchema" xmlns:p="http://schemas.microsoft.com/office/2006/metadata/properties" xmlns:ns2="e5873d33-56ae-40f9-8b97-64a660b0ab54" xmlns:ns3="b3aa22f9-cc7b-464c-a307-4f3ca8762b12" targetNamespace="http://schemas.microsoft.com/office/2006/metadata/properties" ma:root="true" ma:fieldsID="4648b9eb8a037d3779e821281768118f" ns2:_="" ns3:_="">
    <xsd:import namespace="e5873d33-56ae-40f9-8b97-64a660b0ab54"/>
    <xsd:import namespace="b3aa22f9-cc7b-464c-a307-4f3ca8762b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Called"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ABnotes"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73d33-56ae-40f9-8b97-64a660b0ab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Called" ma:index="14" nillable="true" ma:displayName="Called " ma:default="1" ma:format="Dropdown" ma:internalName="Called">
      <xsd:simpleType>
        <xsd:restriction base="dms:Boolea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notes" ma:index="21" nillable="true" ma:displayName="AB notes" ma:default="Not checked" ma:description="Alex's notes and/or thoughts" ma:format="Dropdown" ma:internalName="AB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0601bce-ad95-483f-b011-c1c543928881"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22f9-cc7b-464c-a307-4f3ca8762b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d4f1bdc-5c6f-4193-929c-f8c9f9399563}" ma:internalName="TaxCatchAll" ma:showField="CatchAllData" ma:web="b3aa22f9-cc7b-464c-a307-4f3ca8762b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B0FF5C-FBBF-4466-868F-1B729B19F7A0}">
  <ds:schemaRefs>
    <ds:schemaRef ds:uri="http://schemas.microsoft.com/office/2006/metadata/properties"/>
    <ds:schemaRef ds:uri="http://schemas.microsoft.com/office/infopath/2007/PartnerControls"/>
    <ds:schemaRef ds:uri="65367d0b-6b95-4f86-8389-3282b3846db3"/>
    <ds:schemaRef ds:uri="b3aa22f9-cc7b-464c-a307-4f3ca8762b12"/>
  </ds:schemaRefs>
</ds:datastoreItem>
</file>

<file path=customXml/itemProps2.xml><?xml version="1.0" encoding="utf-8"?>
<ds:datastoreItem xmlns:ds="http://schemas.openxmlformats.org/officeDocument/2006/customXml" ds:itemID="{CF20D962-BF12-4978-9FED-6A816187A564}">
  <ds:schemaRefs>
    <ds:schemaRef ds:uri="http://schemas.microsoft.com/sharepoint/v3/contenttype/form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372FE1F7-CD7F-4EC0-B25B-2F24D8CB974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Alex Braithwaite</lastModifiedBy>
  <revision>7</revision>
  <dcterms:created xsi:type="dcterms:W3CDTF">2025-07-23T13:13:00.0000000Z</dcterms:created>
  <dcterms:modified xsi:type="dcterms:W3CDTF">2026-05-01T09:44:50.4256262Z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0x01010019B14B20ECE6144FBD50D036D694871E</vt:lpwstr>
  </property>
  <property fmtid="{D5CDD505-2E9C-101B-9397-08002B2CF9AE}" pid="3" name="MediaServiceImageTags">
    <vt:lpwstr/>
  </property>
</Properties>
</file>