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556" w:rsidRDefault="00031491" w14:paraId="7F3E7BF5" w14:textId="77777777">
      <w:pPr>
        <w:pStyle w:val="Title"/>
        <w:jc w:val="center"/>
      </w:pPr>
      <w:r>
        <w:t>Provider Contingency and Adverse Effects Policy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1AD7F45E" w:rsidTr="5F8CE0A8" w14:paraId="6FD35AFB" w14:textId="77777777">
        <w:trPr>
          <w:trHeight w:val="30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AD7F45E" w:rsidP="1AD7F45E" w:rsidRDefault="1AD7F45E" w14:paraId="050BDCA7" w14:textId="3F03B5D0">
            <w:pPr>
              <w:rPr>
                <w:rFonts w:eastAsia="Arial" w:cs="Arial"/>
              </w:rPr>
            </w:pPr>
            <w:r w:rsidRPr="1AD7F45E">
              <w:rPr>
                <w:rFonts w:eastAsia="Arial" w:cs="Arial"/>
              </w:rPr>
              <w:t>Policy Number</w:t>
            </w:r>
          </w:p>
        </w:tc>
        <w:tc>
          <w:tcPr>
            <w:tcW w:w="216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1AD7F45E" w:rsidP="1AD7F45E" w:rsidRDefault="1AD7F45E" w14:paraId="141972DE" w14:textId="0D428F87">
            <w:pPr>
              <w:rPr>
                <w:rFonts w:eastAsia="Arial" w:cs="Arial"/>
              </w:rPr>
            </w:pPr>
            <w:r w:rsidRPr="1AD7F45E">
              <w:rPr>
                <w:rFonts w:eastAsia="Arial" w:cs="Arial"/>
              </w:rPr>
              <w:t>Version</w:t>
            </w:r>
          </w:p>
        </w:tc>
        <w:tc>
          <w:tcPr>
            <w:tcW w:w="216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1AD7F45E" w:rsidP="1AD7F45E" w:rsidRDefault="1AD7F45E" w14:paraId="71090241" w14:textId="1E4AF4DB">
            <w:pPr>
              <w:rPr>
                <w:rFonts w:eastAsia="Arial" w:cs="Arial"/>
              </w:rPr>
            </w:pPr>
            <w:r w:rsidRPr="1AD7F45E">
              <w:rPr>
                <w:rFonts w:eastAsia="Arial" w:cs="Arial"/>
              </w:rPr>
              <w:t>Issue Date</w:t>
            </w:r>
          </w:p>
        </w:tc>
        <w:tc>
          <w:tcPr>
            <w:tcW w:w="2160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AD7F45E" w:rsidP="1AD7F45E" w:rsidRDefault="1AD7F45E" w14:paraId="7912C681" w14:textId="0F6842F8">
            <w:pPr>
              <w:rPr>
                <w:rFonts w:eastAsia="Arial" w:cs="Arial"/>
              </w:rPr>
            </w:pPr>
            <w:r w:rsidRPr="1AD7F45E">
              <w:rPr>
                <w:rFonts w:eastAsia="Arial" w:cs="Arial"/>
              </w:rPr>
              <w:t>Review Date</w:t>
            </w:r>
          </w:p>
        </w:tc>
      </w:tr>
      <w:tr w:rsidR="1AD7F45E" w:rsidTr="5F8CE0A8" w14:paraId="4CCB2308" w14:textId="77777777">
        <w:trPr>
          <w:trHeight w:val="30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AD7F45E" w:rsidP="1AD7F45E" w:rsidRDefault="1AD7F45E" w14:paraId="0296A1BF" w14:textId="6AB83B49">
            <w:pPr>
              <w:rPr>
                <w:rFonts w:ascii="Cambria" w:hAnsi="Cambria" w:eastAsia="Cambria" w:cs="Cambria"/>
              </w:rPr>
            </w:pPr>
            <w:r w:rsidRPr="44CDAA30" w:rsidR="1AD7F45E">
              <w:rPr>
                <w:rFonts w:ascii="Cambria" w:hAnsi="Cambria" w:eastAsia="Cambria" w:cs="Cambria"/>
              </w:rPr>
              <w:t>G2T-PMO-</w:t>
            </w:r>
            <w:r w:rsidRPr="44CDAA30" w:rsidR="292509DD">
              <w:rPr>
                <w:rFonts w:ascii="Cambria" w:hAnsi="Cambria" w:eastAsia="Cambria" w:cs="Cambria"/>
              </w:rPr>
              <w:t>03.02.74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AD7F45E" w:rsidP="1AD7F45E" w:rsidRDefault="1AD7F45E" w14:paraId="4E5D2383" w14:textId="36651A1C">
            <w:pPr>
              <w:rPr>
                <w:rFonts w:ascii="Cambria" w:hAnsi="Cambria" w:eastAsia="Cambria" w:cs="Cambria"/>
              </w:rPr>
            </w:pPr>
            <w:r w:rsidRPr="6660CF25" w:rsidR="342A9017">
              <w:rPr>
                <w:rFonts w:ascii="Cambria" w:hAnsi="Cambria" w:eastAsia="Cambria" w:cs="Cambria"/>
              </w:rPr>
              <w:t>2</w:t>
            </w:r>
            <w:r w:rsidRPr="6660CF25" w:rsidR="1AD7F45E">
              <w:rPr>
                <w:rFonts w:ascii="Cambria" w:hAnsi="Cambria" w:eastAsia="Cambria" w:cs="Cambria"/>
              </w:rPr>
              <w:t>.1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AD7F45E" w:rsidP="1AD7F45E" w:rsidRDefault="1AD7F45E" w14:paraId="1BA68957" w14:textId="6B69DD60">
            <w:pPr>
              <w:rPr>
                <w:rFonts w:ascii="Cambria" w:hAnsi="Cambria" w:eastAsia="Cambria" w:cs="Cambria"/>
              </w:rPr>
            </w:pPr>
            <w:r w:rsidRPr="6660CF25" w:rsidR="791290A1">
              <w:rPr>
                <w:rFonts w:ascii="Cambria" w:hAnsi="Cambria" w:eastAsia="Cambria" w:cs="Cambria"/>
              </w:rPr>
              <w:t>23.04.2026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AD7F45E" w:rsidP="6660CF25" w:rsidRDefault="2F522C98" w14:paraId="113D8F8D" w14:textId="4099D2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8CE0A8" w:rsidR="791290A1">
              <w:rPr>
                <w:rFonts w:ascii="Cambria" w:hAnsi="Cambria" w:eastAsia="Cambria" w:cs="Cambria"/>
              </w:rPr>
              <w:t>2</w:t>
            </w:r>
            <w:r w:rsidRPr="5F8CE0A8" w:rsidR="2B5AFE2B">
              <w:rPr>
                <w:rFonts w:ascii="Cambria" w:hAnsi="Cambria" w:eastAsia="Cambria" w:cs="Cambria"/>
              </w:rPr>
              <w:t>6</w:t>
            </w:r>
            <w:r w:rsidRPr="5F8CE0A8" w:rsidR="791290A1">
              <w:rPr>
                <w:rFonts w:ascii="Cambria" w:hAnsi="Cambria" w:eastAsia="Cambria" w:cs="Cambria"/>
              </w:rPr>
              <w:t>.0</w:t>
            </w:r>
            <w:r w:rsidRPr="5F8CE0A8" w:rsidR="75179994">
              <w:rPr>
                <w:rFonts w:ascii="Cambria" w:hAnsi="Cambria" w:eastAsia="Cambria" w:cs="Cambria"/>
              </w:rPr>
              <w:t>8</w:t>
            </w:r>
            <w:r w:rsidRPr="5F8CE0A8" w:rsidR="791290A1">
              <w:rPr>
                <w:rFonts w:ascii="Cambria" w:hAnsi="Cambria" w:eastAsia="Cambria" w:cs="Cambria"/>
              </w:rPr>
              <w:t>.2026</w:t>
            </w:r>
          </w:p>
        </w:tc>
      </w:tr>
    </w:tbl>
    <w:p w:rsidR="7648BD8E" w:rsidP="7648BD8E" w:rsidRDefault="7648BD8E" w14:paraId="43B700FF" w14:textId="6B407490">
      <w:pPr>
        <w:rPr>
          <w:rFonts w:eastAsia="Arial" w:cs="Arial"/>
          <w:color w:val="000000" w:themeColor="text1" w:themeTint="FF" w:themeShade="FF"/>
        </w:rPr>
      </w:pPr>
    </w:p>
    <w:p w:rsidR="45E6BE9A" w:rsidP="5A8DE4E3" w:rsidRDefault="45E6BE9A" w14:paraId="0543EA72" w14:textId="29D0CEE3">
      <w:pPr>
        <w:rPr>
          <w:rFonts w:eastAsia="Arial" w:cs="Arial"/>
          <w:color w:val="000000" w:themeColor="text1"/>
        </w:rPr>
      </w:pPr>
      <w:r w:rsidRPr="6660CF25" w:rsidR="45E6BE9A">
        <w:rPr>
          <w:rFonts w:eastAsia="Arial" w:cs="Arial"/>
          <w:color w:val="000000" w:themeColor="text1" w:themeTint="FF" w:themeShade="FF"/>
        </w:rPr>
        <w:t xml:space="preserve">Approved By: </w:t>
      </w:r>
      <w:r w:rsidRPr="6660CF25" w:rsidR="48A503D4">
        <w:rPr>
          <w:rFonts w:eastAsia="Arial" w:cs="Arial"/>
          <w:color w:val="000000" w:themeColor="text1" w:themeTint="FF" w:themeShade="FF"/>
        </w:rPr>
        <w:t>Course Manager</w:t>
      </w:r>
    </w:p>
    <w:p w:rsidR="45E6BE9A" w:rsidP="1AD7F45E" w:rsidRDefault="45E6BE9A" w14:paraId="1E230AA3" w14:textId="46347EB5">
      <w:pPr>
        <w:rPr>
          <w:rFonts w:eastAsia="Arial" w:cs="Arial"/>
          <w:color w:val="000000" w:themeColor="text1"/>
        </w:rPr>
      </w:pPr>
      <w:r w:rsidRPr="6660CF25" w:rsidR="45E6BE9A">
        <w:rPr>
          <w:rFonts w:eastAsia="Arial" w:cs="Arial"/>
          <w:color w:val="000000" w:themeColor="text1" w:themeTint="FF" w:themeShade="FF"/>
        </w:rPr>
        <w:t xml:space="preserve">Owner: </w:t>
      </w:r>
      <w:r w:rsidRPr="6660CF25" w:rsidR="42600002">
        <w:rPr>
          <w:rFonts w:eastAsia="Arial" w:cs="Arial"/>
          <w:color w:val="000000" w:themeColor="text1" w:themeTint="FF" w:themeShade="FF"/>
        </w:rPr>
        <w:t xml:space="preserve">Managing </w:t>
      </w:r>
      <w:r w:rsidRPr="6660CF25" w:rsidR="45E6BE9A">
        <w:rPr>
          <w:rFonts w:eastAsia="Arial" w:cs="Arial"/>
          <w:color w:val="000000" w:themeColor="text1" w:themeTint="FF" w:themeShade="FF"/>
        </w:rPr>
        <w:t xml:space="preserve">Director </w:t>
      </w:r>
      <w:r w:rsidRPr="6660CF25" w:rsidR="4B1F163F">
        <w:rPr>
          <w:rFonts w:eastAsia="Arial" w:cs="Arial"/>
          <w:color w:val="000000" w:themeColor="text1" w:themeTint="FF" w:themeShade="FF"/>
        </w:rPr>
        <w:t>[</w:t>
      </w:r>
      <w:r w:rsidRPr="6660CF25" w:rsidR="45E6BE9A">
        <w:rPr>
          <w:rFonts w:eastAsia="Arial" w:cs="Arial"/>
          <w:color w:val="000000" w:themeColor="text1" w:themeTint="FF" w:themeShade="FF"/>
        </w:rPr>
        <w:t>Compliance</w:t>
      </w:r>
      <w:r w:rsidRPr="6660CF25" w:rsidR="076910DD">
        <w:rPr>
          <w:rFonts w:eastAsia="Arial" w:cs="Arial"/>
          <w:color w:val="000000" w:themeColor="text1" w:themeTint="FF" w:themeShade="FF"/>
        </w:rPr>
        <w:t xml:space="preserve"> Lead]</w:t>
      </w:r>
    </w:p>
    <w:p w:rsidR="003B3556" w:rsidRDefault="00031491" w14:paraId="1B267173" w14:textId="77777777">
      <w:pPr>
        <w:pStyle w:val="Heading1"/>
      </w:pPr>
      <w:r>
        <w:t>1. Introduction</w:t>
      </w:r>
    </w:p>
    <w:p w:rsidR="41DA6D0A" w:rsidP="1AD7F45E" w:rsidRDefault="41DA6D0A" w14:paraId="1DD314D9" w14:textId="3D6A5647">
      <w:pPr>
        <w:spacing w:before="240" w:after="240"/>
      </w:pPr>
      <w:r w:rsidRPr="6660CF25" w:rsidR="41DA6D0A">
        <w:rPr>
          <w:rFonts w:eastAsia="Arial" w:cs="Arial"/>
        </w:rPr>
        <w:t xml:space="preserve">This policy outlines Grad2Teach’s approach to managing adverse effects and ensuring continuity in service delivery, trainee protection, and regulatory compliance in line with NCFE expectations and </w:t>
      </w:r>
      <w:r w:rsidRPr="6660CF25" w:rsidR="41DA6D0A">
        <w:rPr>
          <w:rFonts w:eastAsia="Arial" w:cs="Arial"/>
        </w:rPr>
        <w:t>Ofqual</w:t>
      </w:r>
      <w:r w:rsidRPr="6660CF25" w:rsidR="41DA6D0A">
        <w:rPr>
          <w:rFonts w:eastAsia="Arial" w:cs="Arial"/>
        </w:rPr>
        <w:t xml:space="preserve"> guidelines. It sets out how we will protect trainees’ interests should there be serious operational disruption, withdrawal of provider approval, </w:t>
      </w:r>
      <w:r w:rsidRPr="6660CF25" w:rsidR="41DA6D0A">
        <w:rPr>
          <w:rFonts w:eastAsia="Arial" w:cs="Arial"/>
          <w:b w:val="0"/>
          <w:bCs w:val="0"/>
        </w:rPr>
        <w:t>serious injury</w:t>
      </w:r>
      <w:r w:rsidRPr="6660CF25" w:rsidR="41DA6D0A">
        <w:rPr>
          <w:rFonts w:eastAsia="Arial" w:cs="Arial"/>
          <w:b w:val="0"/>
          <w:bCs w:val="0"/>
        </w:rPr>
        <w:t xml:space="preserve"> to a trainee</w:t>
      </w:r>
      <w:r w:rsidRPr="6660CF25" w:rsidR="41DA6D0A">
        <w:rPr>
          <w:rFonts w:eastAsia="Arial" w:cs="Arial"/>
        </w:rPr>
        <w:t>, public health incidents (</w:t>
      </w:r>
      <w:r w:rsidRPr="6660CF25" w:rsidR="41DA6D0A">
        <w:rPr>
          <w:rFonts w:eastAsia="Arial" w:cs="Arial"/>
        </w:rPr>
        <w:t>e.g.</w:t>
      </w:r>
      <w:r w:rsidRPr="6660CF25" w:rsidR="41DA6D0A">
        <w:rPr>
          <w:rFonts w:eastAsia="Arial" w:cs="Arial"/>
        </w:rPr>
        <w:t xml:space="preserve"> flu pandemic), or any event affecting the integrity of our qualifications.</w:t>
      </w:r>
    </w:p>
    <w:p w:rsidR="41DA6D0A" w:rsidP="1AD7F45E" w:rsidRDefault="41DA6D0A" w14:paraId="389A67B2" w14:textId="5365FC20">
      <w:pPr>
        <w:spacing w:before="240" w:after="240"/>
      </w:pPr>
      <w:r w:rsidRPr="1AD7F45E">
        <w:rPr>
          <w:rFonts w:eastAsia="Arial" w:cs="Arial"/>
        </w:rPr>
        <w:t>The actions Grad2Teach takes will be guided by the advice and instructions of the relevant official agencies managing the situation.</w:t>
      </w:r>
    </w:p>
    <w:p w:rsidR="003B3556" w:rsidRDefault="00031491" w14:paraId="683FD8F5" w14:textId="77777777">
      <w:pPr>
        <w:pStyle w:val="Heading1"/>
      </w:pPr>
      <w:r>
        <w:t>2. Objectives</w:t>
      </w:r>
    </w:p>
    <w:p w:rsidR="00F44076" w:rsidP="00F44076" w:rsidRDefault="00031491" w14:paraId="74730AF0" w14:textId="77777777">
      <w:pPr>
        <w:pStyle w:val="ListParagraph"/>
        <w:numPr>
          <w:ilvl w:val="0"/>
          <w:numId w:val="13"/>
        </w:numPr>
      </w:pPr>
      <w:r>
        <w:t>To ensure continuity of learning, assessment, and certification in the event of disruption.</w:t>
      </w:r>
    </w:p>
    <w:p w:rsidR="00F44076" w:rsidP="00F44076" w:rsidRDefault="00031491" w14:paraId="7C779484" w14:textId="77777777">
      <w:pPr>
        <w:pStyle w:val="ListParagraph"/>
        <w:numPr>
          <w:ilvl w:val="0"/>
          <w:numId w:val="13"/>
        </w:numPr>
      </w:pPr>
      <w:r>
        <w:t>To protect learners in the event of Grad2Teach losing NCFE approval status.</w:t>
      </w:r>
    </w:p>
    <w:p w:rsidR="00F44076" w:rsidP="00F44076" w:rsidRDefault="00031491" w14:paraId="12898B8F" w14:textId="243F9119">
      <w:pPr>
        <w:pStyle w:val="ListParagraph"/>
        <w:numPr>
          <w:ilvl w:val="0"/>
          <w:numId w:val="13"/>
        </w:numPr>
      </w:pPr>
      <w:r>
        <w:t xml:space="preserve">To uphold the integrity of NCFE </w:t>
      </w:r>
      <w:r w:rsidR="73ABF1D5">
        <w:t xml:space="preserve">customised </w:t>
      </w:r>
      <w:r>
        <w:t>qualifications.</w:t>
      </w:r>
    </w:p>
    <w:p w:rsidR="003B3556" w:rsidP="00F44076" w:rsidRDefault="00031491" w14:paraId="41BBAD50" w14:textId="77777777">
      <w:pPr>
        <w:pStyle w:val="ListParagraph"/>
        <w:numPr>
          <w:ilvl w:val="0"/>
          <w:numId w:val="13"/>
        </w:numPr>
      </w:pPr>
      <w:r>
        <w:t>To meet regulatory expectations under the Ofqual Conditions of Recognition.</w:t>
      </w:r>
    </w:p>
    <w:p w:rsidR="003B3556" w:rsidRDefault="00031491" w14:paraId="57F4B106" w14:textId="77777777">
      <w:pPr>
        <w:pStyle w:val="Heading1"/>
      </w:pPr>
      <w:r>
        <w:t>3. Contingency Planning for Adverse Events</w:t>
      </w:r>
    </w:p>
    <w:p w:rsidR="57FB1840" w:rsidP="0DBA0704" w:rsidRDefault="57FB1840" w14:paraId="25EB944A" w14:textId="3430DECC">
      <w:pPr>
        <w:rPr>
          <w:i w:val="0"/>
          <w:iCs w:val="0"/>
        </w:rPr>
      </w:pPr>
      <w:r w:rsidRPr="0DBA0704" w:rsidR="57FB1840">
        <w:rPr>
          <w:i w:val="0"/>
          <w:iCs w:val="0"/>
        </w:rPr>
        <w:t>Grad2Teach has a risk register and associated contingency planning mechanisms to respond to:</w:t>
      </w:r>
    </w:p>
    <w:p w:rsidR="57FB1840" w:rsidP="1AD7F45E" w:rsidRDefault="57FB1840" w14:paraId="19702E4A" w14:textId="736443FD">
      <w:pPr>
        <w:pStyle w:val="ListParagraph"/>
        <w:numPr>
          <w:ilvl w:val="0"/>
          <w:numId w:val="14"/>
        </w:numPr>
        <w:spacing w:before="240" w:after="240"/>
        <w:rPr>
          <w:b w:val="0"/>
          <w:bCs w:val="0"/>
        </w:rPr>
      </w:pPr>
      <w:r w:rsidR="57FB1840">
        <w:rPr>
          <w:b w:val="0"/>
          <w:bCs w:val="0"/>
        </w:rPr>
        <w:t>Sudden unavailability of key staff</w:t>
      </w:r>
      <w:r w:rsidR="57FB1840">
        <w:rPr>
          <w:b w:val="0"/>
          <w:bCs w:val="0"/>
        </w:rPr>
        <w:t>, such as qualified Assessors, Internal Quality Assurers (IQAs), or other critical personnel (</w:t>
      </w:r>
      <w:r w:rsidR="57FB1840">
        <w:rPr>
          <w:b w:val="0"/>
          <w:bCs w:val="0"/>
        </w:rPr>
        <w:t>e.g.</w:t>
      </w:r>
      <w:r w:rsidR="57FB1840">
        <w:rPr>
          <w:b w:val="0"/>
          <w:bCs w:val="0"/>
        </w:rPr>
        <w:t xml:space="preserve"> </w:t>
      </w:r>
      <w:r w:rsidR="1BEE9219">
        <w:rPr>
          <w:b w:val="0"/>
          <w:bCs w:val="0"/>
        </w:rPr>
        <w:t>Programme</w:t>
      </w:r>
      <w:r w:rsidR="1BEE9219">
        <w:rPr>
          <w:b w:val="0"/>
          <w:bCs w:val="0"/>
        </w:rPr>
        <w:t xml:space="preserve"> Lead/Exams Officer</w:t>
      </w:r>
      <w:r w:rsidR="57FB1840">
        <w:rPr>
          <w:b w:val="0"/>
          <w:bCs w:val="0"/>
        </w:rPr>
        <w:t>).</w:t>
      </w:r>
    </w:p>
    <w:p w:rsidR="57FB1840" w:rsidP="1AD7F45E" w:rsidRDefault="57FB1840" w14:paraId="60093961" w14:textId="290428B6">
      <w:pPr>
        <w:pStyle w:val="ListParagraph"/>
        <w:numPr>
          <w:ilvl w:val="0"/>
          <w:numId w:val="14"/>
        </w:numPr>
        <w:spacing w:before="240" w:after="240"/>
        <w:rPr>
          <w:b w:val="0"/>
          <w:bCs w:val="0"/>
        </w:rPr>
      </w:pPr>
      <w:r w:rsidR="57FB1840">
        <w:rPr>
          <w:b w:val="0"/>
          <w:bCs w:val="0"/>
        </w:rPr>
        <w:t>Loss of premises</w:t>
      </w:r>
      <w:r w:rsidR="57FB1840">
        <w:rPr>
          <w:b w:val="0"/>
          <w:bCs w:val="0"/>
        </w:rPr>
        <w:t>, including situations where training or administrative functions cannot be delivered on-site.</w:t>
      </w:r>
    </w:p>
    <w:p w:rsidR="57FB1840" w:rsidP="1AD7F45E" w:rsidRDefault="57FB1840" w14:paraId="6D223481" w14:textId="79402F40">
      <w:pPr>
        <w:pStyle w:val="ListParagraph"/>
        <w:numPr>
          <w:ilvl w:val="0"/>
          <w:numId w:val="14"/>
        </w:numPr>
        <w:spacing w:before="240" w:after="240"/>
        <w:rPr>
          <w:b w:val="0"/>
          <w:bCs w:val="0"/>
        </w:rPr>
      </w:pPr>
      <w:r w:rsidR="57FB1840">
        <w:rPr>
          <w:b w:val="0"/>
          <w:bCs w:val="0"/>
        </w:rPr>
        <w:t>Failure of IT systems</w:t>
      </w:r>
      <w:r w:rsidR="57FB1840">
        <w:rPr>
          <w:b w:val="0"/>
          <w:bCs w:val="0"/>
        </w:rPr>
        <w:t>, for example:</w:t>
      </w:r>
    </w:p>
    <w:p w:rsidR="57FB1840" w:rsidP="1AD7F45E" w:rsidRDefault="57FB1840" w14:paraId="57A00E0D" w14:textId="0DD1DC96">
      <w:pPr>
        <w:pStyle w:val="ListParagraph"/>
        <w:numPr>
          <w:ilvl w:val="1"/>
          <w:numId w:val="14"/>
        </w:numPr>
        <w:spacing w:before="240" w:after="240"/>
        <w:rPr>
          <w:b w:val="0"/>
          <w:bCs w:val="0"/>
        </w:rPr>
      </w:pPr>
      <w:r w:rsidR="57FB1840">
        <w:rPr>
          <w:b w:val="0"/>
          <w:bCs w:val="0"/>
        </w:rPr>
        <w:t>Assessment evidence becoming unavailable for marking</w:t>
      </w:r>
    </w:p>
    <w:p w:rsidR="57FB1840" w:rsidP="1AD7F45E" w:rsidRDefault="57FB1840" w14:paraId="75A23D31" w14:textId="444E6C00">
      <w:pPr>
        <w:pStyle w:val="ListParagraph"/>
        <w:numPr>
          <w:ilvl w:val="1"/>
          <w:numId w:val="14"/>
        </w:numPr>
        <w:spacing w:before="240" w:after="240"/>
        <w:rPr>
          <w:b w:val="0"/>
          <w:bCs w:val="0"/>
        </w:rPr>
      </w:pPr>
      <w:r w:rsidR="57FB1840">
        <w:rPr>
          <w:b w:val="0"/>
          <w:bCs w:val="0"/>
        </w:rPr>
        <w:t>Inability to distribute results to trainees</w:t>
      </w:r>
    </w:p>
    <w:p w:rsidR="57FB1840" w:rsidP="1AD7F45E" w:rsidRDefault="57FB1840" w14:paraId="6A9246A9" w14:textId="395A391C">
      <w:pPr>
        <w:pStyle w:val="ListParagraph"/>
        <w:numPr>
          <w:ilvl w:val="1"/>
          <w:numId w:val="14"/>
        </w:numPr>
        <w:spacing w:before="240" w:after="240"/>
        <w:rPr>
          <w:b w:val="0"/>
          <w:bCs w:val="0"/>
        </w:rPr>
      </w:pPr>
      <w:r w:rsidR="57FB1840">
        <w:rPr>
          <w:b w:val="0"/>
          <w:bCs w:val="0"/>
        </w:rPr>
        <w:t>Disruption to communication with partner schools or regulatory bodies</w:t>
      </w:r>
    </w:p>
    <w:p w:rsidR="59C4E92E" w:rsidP="1AD7F45E" w:rsidRDefault="59C4E92E" w14:paraId="29AEEAE2" w14:textId="4CAD3695">
      <w:pPr>
        <w:pStyle w:val="ListParagraph"/>
        <w:numPr>
          <w:ilvl w:val="0"/>
          <w:numId w:val="15"/>
        </w:numPr>
        <w:rPr>
          <w:b w:val="0"/>
          <w:bCs w:val="0"/>
        </w:rPr>
      </w:pPr>
      <w:r w:rsidR="59C4E92E">
        <w:rPr>
          <w:b w:val="0"/>
          <w:bCs w:val="0"/>
        </w:rPr>
        <w:t>Security breaches</w:t>
      </w:r>
      <w:r w:rsidR="59C4E92E">
        <w:rPr>
          <w:b w:val="0"/>
          <w:bCs w:val="0"/>
        </w:rPr>
        <w:t>, including assessment paper leaks</w:t>
      </w:r>
    </w:p>
    <w:p w:rsidR="59C4E92E" w:rsidP="0DBA0704" w:rsidRDefault="59C4E92E" w14:paraId="78205EB1" w14:textId="4F4F8BB0">
      <w:pPr>
        <w:pStyle w:val="ListParagraph"/>
        <w:numPr>
          <w:ilvl w:val="0"/>
          <w:numId w:val="15"/>
        </w:numPr>
        <w:spacing w:before="240" w:after="240"/>
        <w:rPr>
          <w:b w:val="0"/>
          <w:bCs w:val="0"/>
        </w:rPr>
      </w:pPr>
      <w:r w:rsidR="59C4E92E">
        <w:rPr>
          <w:b w:val="0"/>
          <w:bCs w:val="0"/>
        </w:rPr>
        <w:t>Trainee data loss</w:t>
      </w:r>
    </w:p>
    <w:p w:rsidR="59C4E92E" w:rsidP="0DBA0704" w:rsidRDefault="59C4E92E" w14:paraId="5982ADDC" w14:textId="1E9F9728">
      <w:pPr>
        <w:pStyle w:val="ListParagraph"/>
        <w:numPr>
          <w:ilvl w:val="0"/>
          <w:numId w:val="15"/>
        </w:numPr>
        <w:spacing w:before="240" w:after="240"/>
        <w:rPr>
          <w:b w:val="0"/>
          <w:bCs w:val="0"/>
        </w:rPr>
      </w:pPr>
      <w:r w:rsidR="59C4E92E">
        <w:rPr>
          <w:b w:val="0"/>
          <w:bCs w:val="0"/>
        </w:rPr>
        <w:t>Withdrawal or failure of delivery partner institutions</w:t>
      </w:r>
    </w:p>
    <w:p w:rsidR="59C4E92E" w:rsidP="0DBA0704" w:rsidRDefault="59C4E92E" w14:paraId="1FEC9FEB" w14:textId="400BDFAF">
      <w:pPr>
        <w:spacing w:before="240" w:after="240"/>
        <w:rPr>
          <w:b w:val="0"/>
          <w:bCs w:val="0"/>
          <w:i w:val="0"/>
          <w:iCs w:val="0"/>
        </w:rPr>
      </w:pPr>
      <w:r w:rsidRPr="0DBA0704" w:rsidR="59C4E92E">
        <w:rPr>
          <w:b w:val="0"/>
          <w:bCs w:val="0"/>
          <w:i w:val="0"/>
          <w:iCs w:val="0"/>
        </w:rPr>
        <w:t>In such cases, actions may include:</w:t>
      </w:r>
    </w:p>
    <w:p w:rsidR="59C4E92E" w:rsidP="1AD7F45E" w:rsidRDefault="59C4E92E" w14:paraId="6B2CD6FD" w14:textId="394308D1">
      <w:pPr>
        <w:pStyle w:val="ListParagraph"/>
        <w:numPr>
          <w:ilvl w:val="0"/>
          <w:numId w:val="15"/>
        </w:numPr>
        <w:spacing w:before="240" w:after="240"/>
      </w:pPr>
      <w:r w:rsidRPr="1AD7F45E">
        <w:t>Relocation of delivery to alternate partner schools or virtual platforms</w:t>
      </w:r>
    </w:p>
    <w:p w:rsidR="59C4E92E" w:rsidP="1AD7F45E" w:rsidRDefault="59C4E92E" w14:paraId="63395FA5" w14:textId="5227C995">
      <w:pPr>
        <w:pStyle w:val="ListParagraph"/>
        <w:numPr>
          <w:ilvl w:val="0"/>
          <w:numId w:val="15"/>
        </w:numPr>
        <w:spacing w:before="240" w:after="240"/>
      </w:pPr>
      <w:r w:rsidRPr="1AD7F45E">
        <w:t>Rescheduling or reallocation of assessments</w:t>
      </w:r>
    </w:p>
    <w:p w:rsidR="59C4E92E" w:rsidP="1AD7F45E" w:rsidRDefault="59C4E92E" w14:paraId="3F998699" w14:textId="6163F0F0">
      <w:pPr>
        <w:pStyle w:val="ListParagraph"/>
        <w:numPr>
          <w:ilvl w:val="0"/>
          <w:numId w:val="15"/>
        </w:numPr>
        <w:spacing w:before="240" w:after="240"/>
      </w:pPr>
      <w:r w:rsidRPr="1AD7F45E">
        <w:t>Emergency recruitment or redeployment of teaching/assessment staff (e.g. qualified Assessors or IQAs)</w:t>
      </w:r>
    </w:p>
    <w:p w:rsidR="59C4E92E" w:rsidP="1AD7F45E" w:rsidRDefault="59C4E92E" w14:paraId="49BCB01E" w14:textId="4C0B2514">
      <w:pPr>
        <w:pStyle w:val="ListParagraph"/>
        <w:numPr>
          <w:ilvl w:val="0"/>
          <w:numId w:val="15"/>
        </w:numPr>
        <w:spacing w:before="240" w:after="240"/>
        <w:rPr>
          <w:b w:val="0"/>
          <w:bCs w:val="0"/>
        </w:rPr>
      </w:pPr>
      <w:r w:rsidR="59C4E92E">
        <w:rPr>
          <w:b w:val="0"/>
          <w:bCs w:val="0"/>
        </w:rPr>
        <w:t>Execution of a communication plan for trainees, staff, and stakeholders</w:t>
      </w:r>
    </w:p>
    <w:p w:rsidR="59C4E92E" w:rsidP="1AD7F45E" w:rsidRDefault="59C4E92E" w14:paraId="6003052C" w14:textId="7199BCC9">
      <w:pPr>
        <w:pStyle w:val="ListParagraph"/>
        <w:numPr>
          <w:ilvl w:val="0"/>
          <w:numId w:val="15"/>
        </w:numPr>
        <w:spacing w:before="240" w:after="240"/>
        <w:rPr>
          <w:b w:val="0"/>
          <w:bCs w:val="0"/>
        </w:rPr>
      </w:pPr>
      <w:r w:rsidR="59C4E92E">
        <w:rPr>
          <w:b w:val="0"/>
          <w:bCs w:val="0"/>
        </w:rPr>
        <w:t>Maintaining secured backups</w:t>
      </w:r>
      <w:r w:rsidR="59C4E92E">
        <w:rPr>
          <w:b w:val="0"/>
          <w:bCs w:val="0"/>
        </w:rPr>
        <w:t xml:space="preserve"> for all types of assessment and feedback related to trainees’ portfolio documents on the Trainee Hub</w:t>
      </w:r>
    </w:p>
    <w:p w:rsidR="59C4E92E" w:rsidP="7648BD8E" w:rsidRDefault="59C4E92E" w14:paraId="7712912F" w14:textId="10733430">
      <w:pPr>
        <w:pStyle w:val="ListParagraph"/>
        <w:numPr>
          <w:ilvl w:val="0"/>
          <w:numId w:val="15"/>
        </w:numPr>
        <w:spacing w:before="240" w:after="240"/>
        <w:rPr>
          <w:b w:val="0"/>
          <w:bCs w:val="0"/>
        </w:rPr>
      </w:pPr>
      <w:r w:rsidR="59C4E92E">
        <w:rPr>
          <w:b w:val="0"/>
          <w:bCs w:val="0"/>
        </w:rPr>
        <w:t xml:space="preserve">Informing NCFE </w:t>
      </w:r>
      <w:r w:rsidR="59C4E92E">
        <w:rPr>
          <w:b w:val="0"/>
          <w:bCs w:val="0"/>
        </w:rPr>
        <w:t>immediately</w:t>
      </w:r>
      <w:r w:rsidR="59C4E92E">
        <w:rPr>
          <w:b w:val="0"/>
          <w:bCs w:val="0"/>
        </w:rPr>
        <w:t xml:space="preserve"> about alternative arrangements if Grad2Teach cannot distribute results as normal, and </w:t>
      </w:r>
      <w:r w:rsidR="59C4E92E">
        <w:rPr>
          <w:b w:val="0"/>
          <w:bCs w:val="0"/>
        </w:rPr>
        <w:t>notifying affected trainees without delay</w:t>
      </w:r>
    </w:p>
    <w:p w:rsidR="1AD7F45E" w:rsidP="1AD7F45E" w:rsidRDefault="1AD7F45E" w14:paraId="791E47EB" w14:textId="0DFDB2D8">
      <w:pPr>
        <w:pStyle w:val="ListParagraph"/>
      </w:pPr>
    </w:p>
    <w:p w:rsidR="003B3556" w:rsidRDefault="00031491" w14:paraId="5196DD58" w14:textId="77777777">
      <w:pPr>
        <w:pStyle w:val="Heading1"/>
      </w:pPr>
      <w:r>
        <w:t>4. Withdrawal of Provider Approval Status</w:t>
      </w:r>
    </w:p>
    <w:p w:rsidR="3F0EF13D" w:rsidP="7648BD8E" w:rsidRDefault="3F0EF13D" w14:paraId="69892B43" w14:textId="3810339B">
      <w:pPr>
        <w:rPr>
          <w:i w:val="0"/>
          <w:iCs w:val="0"/>
        </w:rPr>
      </w:pPr>
      <w:r w:rsidRPr="7648BD8E" w:rsidR="3F0EF13D">
        <w:rPr>
          <w:i w:val="0"/>
          <w:iCs w:val="0"/>
        </w:rPr>
        <w:t xml:space="preserve">If Grad2Teach is notified of potential or actual withdrawal of provider approval by the awarding </w:t>
      </w:r>
      <w:r w:rsidRPr="7648BD8E" w:rsidR="3F0EF13D">
        <w:rPr>
          <w:i w:val="0"/>
          <w:iCs w:val="0"/>
        </w:rPr>
        <w:t>organisation</w:t>
      </w:r>
      <w:r w:rsidRPr="7648BD8E" w:rsidR="3F0EF13D">
        <w:rPr>
          <w:i w:val="0"/>
          <w:iCs w:val="0"/>
        </w:rPr>
        <w:t>:</w:t>
      </w:r>
    </w:p>
    <w:p w:rsidR="3F0EF13D" w:rsidP="1AD7F45E" w:rsidRDefault="3F0EF13D" w14:paraId="45047D96" w14:textId="2F94A624">
      <w:pPr>
        <w:pStyle w:val="ListParagraph"/>
        <w:numPr>
          <w:ilvl w:val="0"/>
          <w:numId w:val="16"/>
        </w:numPr>
        <w:spacing w:before="240" w:after="240"/>
        <w:rPr/>
      </w:pPr>
      <w:r w:rsidR="3F0EF13D">
        <w:rPr/>
        <w:t>Immediate notification will be made to all affected trainees and partner schools</w:t>
      </w:r>
      <w:r w:rsidR="31E7224B">
        <w:rPr/>
        <w:t xml:space="preserve"> by email in the first instance.</w:t>
      </w:r>
    </w:p>
    <w:p w:rsidR="3F0EF13D" w:rsidP="1AD7F45E" w:rsidRDefault="3F0EF13D" w14:paraId="62A4179D" w14:textId="506DDC46">
      <w:pPr>
        <w:pStyle w:val="ListParagraph"/>
        <w:numPr>
          <w:ilvl w:val="0"/>
          <w:numId w:val="16"/>
        </w:numPr>
        <w:spacing w:before="240" w:after="240"/>
        <w:rPr/>
      </w:pPr>
      <w:r w:rsidR="3F0EF13D">
        <w:rPr/>
        <w:t>Trainee records will be updated and securely backed up</w:t>
      </w:r>
      <w:r w:rsidR="22A9AA41">
        <w:rPr/>
        <w:t>.</w:t>
      </w:r>
    </w:p>
    <w:p w:rsidR="3F0EF13D" w:rsidP="1AD7F45E" w:rsidRDefault="3F0EF13D" w14:paraId="56BD91F2" w14:textId="112421A2">
      <w:pPr>
        <w:pStyle w:val="ListParagraph"/>
        <w:numPr>
          <w:ilvl w:val="0"/>
          <w:numId w:val="16"/>
        </w:numPr>
        <w:spacing w:before="240" w:after="240"/>
      </w:pPr>
      <w:r w:rsidRPr="1AD7F45E">
        <w:t>Arrangements will be made to:</w:t>
      </w:r>
    </w:p>
    <w:p w:rsidR="3F0EF13D" w:rsidP="1AD7F45E" w:rsidRDefault="3F0EF13D" w14:paraId="6A135DDD" w14:textId="34701387">
      <w:pPr>
        <w:pStyle w:val="ListParagraph"/>
        <w:numPr>
          <w:ilvl w:val="1"/>
          <w:numId w:val="16"/>
        </w:numPr>
        <w:spacing w:before="240" w:after="240"/>
      </w:pPr>
      <w:r w:rsidRPr="1AD7F45E">
        <w:t>Complete delivery for affected cohorts</w:t>
      </w:r>
    </w:p>
    <w:p w:rsidR="3F0EF13D" w:rsidP="1AD7F45E" w:rsidRDefault="3F0EF13D" w14:paraId="07B7130C" w14:textId="70A2FED1">
      <w:pPr>
        <w:pStyle w:val="ListParagraph"/>
        <w:numPr>
          <w:ilvl w:val="1"/>
          <w:numId w:val="16"/>
        </w:numPr>
        <w:spacing w:before="240" w:after="240"/>
      </w:pPr>
      <w:r w:rsidRPr="1AD7F45E">
        <w:t>Transfer trainees to an alternate approved centre</w:t>
      </w:r>
    </w:p>
    <w:p w:rsidR="3F0EF13D" w:rsidP="1AD7F45E" w:rsidRDefault="3F0EF13D" w14:paraId="430F063C" w14:textId="74C965A8">
      <w:pPr>
        <w:pStyle w:val="ListParagraph"/>
        <w:numPr>
          <w:ilvl w:val="1"/>
          <w:numId w:val="16"/>
        </w:numPr>
        <w:spacing w:before="240" w:after="240"/>
      </w:pPr>
      <w:r w:rsidRPr="1AD7F45E">
        <w:t>Facilitate certification for completed units or qualifications</w:t>
      </w:r>
    </w:p>
    <w:p w:rsidR="3F0EF13D" w:rsidP="1AD7F45E" w:rsidRDefault="3F0EF13D" w14:paraId="13A0B47F" w14:textId="27BC7373">
      <w:pPr>
        <w:pStyle w:val="ListParagraph"/>
        <w:numPr>
          <w:ilvl w:val="0"/>
          <w:numId w:val="16"/>
        </w:numPr>
        <w:spacing w:before="240" w:after="240"/>
        <w:rPr/>
      </w:pPr>
      <w:r w:rsidR="3F0EF13D">
        <w:rPr/>
        <w:t>A dedicated case handler will be appointed to oversee individual trainee transition plans</w:t>
      </w:r>
      <w:r w:rsidR="4139C520">
        <w:rPr/>
        <w:t>.</w:t>
      </w:r>
    </w:p>
    <w:p w:rsidR="3F0EF13D" w:rsidP="1AD7F45E" w:rsidRDefault="3F0EF13D" w14:paraId="325FAE2F" w14:textId="54ABD2B1">
      <w:pPr>
        <w:pStyle w:val="ListParagraph"/>
        <w:numPr>
          <w:ilvl w:val="0"/>
          <w:numId w:val="16"/>
        </w:numPr>
        <w:spacing w:before="240" w:after="240"/>
        <w:rPr/>
      </w:pPr>
      <w:r w:rsidR="3F0EF13D">
        <w:rPr/>
        <w:t xml:space="preserve">The awarding </w:t>
      </w:r>
      <w:r w:rsidR="3F0EF13D">
        <w:rPr/>
        <w:t>organisation</w:t>
      </w:r>
      <w:r w:rsidR="3F0EF13D">
        <w:rPr/>
        <w:t xml:space="preserve"> will be engaged throughout to approve and support transitional arrangements</w:t>
      </w:r>
      <w:r w:rsidR="5D7C224D">
        <w:rPr/>
        <w:t>.</w:t>
      </w:r>
    </w:p>
    <w:p w:rsidR="003B3556" w:rsidRDefault="00031491" w14:paraId="6D7A9C8A" w14:textId="77777777">
      <w:pPr>
        <w:pStyle w:val="Heading1"/>
      </w:pPr>
      <w:r>
        <w:t>5. Learner Protection Strategy</w:t>
      </w:r>
    </w:p>
    <w:p w:rsidR="00F44076" w:rsidP="00F44076" w:rsidRDefault="00031491" w14:paraId="13D448CE" w14:textId="77777777">
      <w:pPr>
        <w:pStyle w:val="ListParagraph"/>
        <w:numPr>
          <w:ilvl w:val="0"/>
          <w:numId w:val="17"/>
        </w:numPr>
      </w:pPr>
      <w:r>
        <w:t>Maintain up-to-date learner records on secure platforms.</w:t>
      </w:r>
    </w:p>
    <w:p w:rsidR="00F44076" w:rsidP="00F44076" w:rsidRDefault="00031491" w14:paraId="51F9C540" w14:textId="77777777">
      <w:pPr>
        <w:pStyle w:val="ListParagraph"/>
        <w:numPr>
          <w:ilvl w:val="0"/>
          <w:numId w:val="17"/>
        </w:numPr>
      </w:pPr>
      <w:r>
        <w:t>Ensure that training, assessment, and mentoring records are transferable.</w:t>
      </w:r>
    </w:p>
    <w:p w:rsidR="00F44076" w:rsidP="00F44076" w:rsidRDefault="00031491" w14:paraId="76110DDA" w14:textId="77777777">
      <w:pPr>
        <w:pStyle w:val="ListParagraph"/>
        <w:numPr>
          <w:ilvl w:val="0"/>
          <w:numId w:val="17"/>
        </w:numPr>
      </w:pPr>
      <w:r>
        <w:t>All learners will receive guidance and support to continue their qualifications with minimal disruption.</w:t>
      </w:r>
    </w:p>
    <w:p w:rsidR="003B3556" w:rsidP="00F44076" w:rsidRDefault="00031491" w14:paraId="074D49BA" w14:textId="77777777">
      <w:pPr>
        <w:pStyle w:val="ListParagraph"/>
        <w:numPr>
          <w:ilvl w:val="0"/>
          <w:numId w:val="17"/>
        </w:numPr>
      </w:pPr>
      <w:r>
        <w:t>Exit interviews and follow-up tracking will be used to evaluate and improve response plans.</w:t>
      </w:r>
    </w:p>
    <w:p w:rsidR="003B3556" w:rsidRDefault="00031491" w14:paraId="3B121CD8" w14:textId="77777777">
      <w:pPr>
        <w:pStyle w:val="Heading1"/>
      </w:pPr>
      <w:r>
        <w:t>6. Roles and Responsibilities</w:t>
      </w:r>
    </w:p>
    <w:p w:rsidR="25CC2900" w:rsidP="1AD7F45E" w:rsidRDefault="25CC2900" w14:paraId="09FA1EF6" w14:textId="04D607EC">
      <w:pPr>
        <w:pStyle w:val="ListParagraph"/>
        <w:numPr>
          <w:ilvl w:val="0"/>
          <w:numId w:val="18"/>
        </w:numPr>
        <w:rPr>
          <w:b w:val="0"/>
          <w:bCs w:val="0"/>
        </w:rPr>
      </w:pPr>
      <w:r w:rsidR="3871D16A">
        <w:rPr>
          <w:b w:val="0"/>
          <w:bCs w:val="0"/>
        </w:rPr>
        <w:t xml:space="preserve">Managing </w:t>
      </w:r>
      <w:r w:rsidR="25CC2900">
        <w:rPr>
          <w:b w:val="0"/>
          <w:bCs w:val="0"/>
        </w:rPr>
        <w:t>Director (</w:t>
      </w:r>
      <w:r w:rsidR="21E9AA09">
        <w:rPr>
          <w:b w:val="0"/>
          <w:bCs w:val="0"/>
        </w:rPr>
        <w:t>Alex Braithwaite</w:t>
      </w:r>
      <w:r w:rsidR="25CC2900">
        <w:rPr>
          <w:b w:val="0"/>
          <w:bCs w:val="0"/>
        </w:rPr>
        <w:t>):</w:t>
      </w:r>
      <w:r w:rsidR="25CC2900">
        <w:rPr>
          <w:b w:val="0"/>
          <w:bCs w:val="0"/>
        </w:rPr>
        <w:t xml:space="preserve"> Overall responsibility for execution and oversight of the policy.</w:t>
      </w:r>
    </w:p>
    <w:p w:rsidR="25CC2900" w:rsidP="1AD7F45E" w:rsidRDefault="25CC2900" w14:paraId="11700AA4" w14:textId="70A13F12">
      <w:pPr>
        <w:pStyle w:val="ListParagraph"/>
        <w:numPr>
          <w:ilvl w:val="0"/>
          <w:numId w:val="18"/>
        </w:numPr>
        <w:spacing w:before="240" w:after="240"/>
        <w:rPr>
          <w:b w:val="0"/>
          <w:bCs w:val="0"/>
        </w:rPr>
      </w:pPr>
      <w:r w:rsidR="25CC2900">
        <w:rPr>
          <w:b w:val="0"/>
          <w:bCs w:val="0"/>
        </w:rPr>
        <w:t>Head of Teaching &amp; Learning (Michelle Ellis-Tipton):</w:t>
      </w:r>
      <w:r w:rsidR="25CC2900">
        <w:rPr>
          <w:b w:val="0"/>
          <w:bCs w:val="0"/>
        </w:rPr>
        <w:t xml:space="preserve"> Coordination of trainee transitions, academic oversight.</w:t>
      </w:r>
    </w:p>
    <w:p w:rsidR="25CC2900" w:rsidP="1AD7F45E" w:rsidRDefault="25CC2900" w14:paraId="0C77FE35" w14:textId="450A4CD7">
      <w:pPr>
        <w:pStyle w:val="ListParagraph"/>
        <w:numPr>
          <w:ilvl w:val="0"/>
          <w:numId w:val="18"/>
        </w:numPr>
        <w:spacing w:before="240" w:after="240"/>
        <w:rPr/>
      </w:pPr>
      <w:r w:rsidR="4DD500BA">
        <w:rPr>
          <w:b w:val="0"/>
          <w:bCs w:val="0"/>
        </w:rPr>
        <w:t>Course Manager</w:t>
      </w:r>
      <w:r w:rsidR="25CC2900">
        <w:rPr>
          <w:b w:val="0"/>
          <w:bCs w:val="0"/>
        </w:rPr>
        <w:t xml:space="preserve"> and Exams Officer (April Elsmore)</w:t>
      </w:r>
      <w:r w:rsidRPr="7648BD8E" w:rsidR="25CC2900">
        <w:rPr>
          <w:b w:val="1"/>
          <w:bCs w:val="1"/>
        </w:rPr>
        <w:t>:</w:t>
      </w:r>
      <w:r w:rsidR="25CC2900">
        <w:rPr/>
        <w:t xml:space="preserve"> Responsible for </w:t>
      </w:r>
      <w:r w:rsidR="25CC2900">
        <w:rPr/>
        <w:t>immediately</w:t>
      </w:r>
      <w:r w:rsidR="25CC2900">
        <w:rPr/>
        <w:t xml:space="preserve"> informing the awarding </w:t>
      </w:r>
      <w:r w:rsidR="25CC2900">
        <w:rPr/>
        <w:t>organisation</w:t>
      </w:r>
      <w:r w:rsidR="25CC2900">
        <w:rPr/>
        <w:t xml:space="preserve"> of any changes </w:t>
      </w:r>
      <w:r w:rsidR="25CC2900">
        <w:rPr/>
        <w:t>regarding</w:t>
      </w:r>
      <w:r w:rsidR="25CC2900">
        <w:rPr/>
        <w:t xml:space="preserve"> trainees and overseeing related compliance communication.</w:t>
      </w:r>
    </w:p>
    <w:p w:rsidR="25CC2900" w:rsidP="1AD7F45E" w:rsidRDefault="25CC2900" w14:paraId="7B581FDF" w14:textId="44C7BF19">
      <w:pPr>
        <w:pStyle w:val="ListParagraph"/>
        <w:numPr>
          <w:ilvl w:val="0"/>
          <w:numId w:val="18"/>
        </w:numPr>
        <w:spacing w:before="240" w:after="240"/>
        <w:rPr/>
      </w:pPr>
      <w:r w:rsidR="25CC2900">
        <w:rPr>
          <w:b w:val="0"/>
          <w:bCs w:val="0"/>
        </w:rPr>
        <w:t>IT Manager (Benjamin Pearson)</w:t>
      </w:r>
      <w:r w:rsidRPr="7648BD8E" w:rsidR="25CC2900">
        <w:rPr>
          <w:b w:val="1"/>
          <w:bCs w:val="1"/>
        </w:rPr>
        <w:t>:</w:t>
      </w:r>
      <w:r w:rsidR="25CC2900">
        <w:rPr/>
        <w:t xml:space="preserve"> Data integrity, system resilience, and cyber response.</w:t>
      </w:r>
    </w:p>
    <w:p w:rsidR="25CC2900" w:rsidP="1AD7F45E" w:rsidRDefault="25CC2900" w14:paraId="0479EB91" w14:textId="21F3F8E5">
      <w:pPr>
        <w:pStyle w:val="ListParagraph"/>
        <w:numPr>
          <w:ilvl w:val="0"/>
          <w:numId w:val="18"/>
        </w:numPr>
        <w:spacing w:before="240" w:after="240"/>
        <w:rPr/>
      </w:pPr>
      <w:r w:rsidR="25CC2900">
        <w:rPr>
          <w:b w:val="0"/>
          <w:bCs w:val="0"/>
        </w:rPr>
        <w:t>Partnerships Team</w:t>
      </w:r>
      <w:r w:rsidRPr="7648BD8E" w:rsidR="25CC2900">
        <w:rPr>
          <w:b w:val="1"/>
          <w:bCs w:val="1"/>
        </w:rPr>
        <w:t>:</w:t>
      </w:r>
      <w:r w:rsidR="25CC2900">
        <w:rPr/>
        <w:t xml:space="preserve"> Liaison with schools for emergency relocations or trainee transfers.</w:t>
      </w:r>
    </w:p>
    <w:p w:rsidR="003B3556" w:rsidRDefault="00031491" w14:paraId="547DC220" w14:textId="77777777">
      <w:pPr>
        <w:pStyle w:val="Heading1"/>
      </w:pPr>
      <w:r>
        <w:t>7. Communication Plan</w:t>
      </w:r>
    </w:p>
    <w:p w:rsidR="00F44076" w:rsidP="00F44076" w:rsidRDefault="00031491" w14:paraId="778D2B73" w14:textId="77777777">
      <w:pPr>
        <w:pStyle w:val="ListParagraph"/>
        <w:numPr>
          <w:ilvl w:val="0"/>
          <w:numId w:val="19"/>
        </w:numPr>
      </w:pPr>
      <w:r>
        <w:t>Prompt communication to learners and stakeholders via email, website announcements, and direct contact.</w:t>
      </w:r>
    </w:p>
    <w:p w:rsidR="00F44076" w:rsidP="00F44076" w:rsidRDefault="00031491" w14:paraId="7DC8D535" w14:textId="77777777">
      <w:pPr>
        <w:pStyle w:val="ListParagraph"/>
        <w:numPr>
          <w:ilvl w:val="0"/>
          <w:numId w:val="19"/>
        </w:numPr>
      </w:pPr>
      <w:r>
        <w:t>Consistent messaging and FAQs will be prepared.</w:t>
      </w:r>
    </w:p>
    <w:p w:rsidR="00F44076" w:rsidP="00F44076" w:rsidRDefault="00031491" w14:paraId="1CA84AF7" w14:textId="77777777">
      <w:pPr>
        <w:pStyle w:val="ListParagraph"/>
        <w:numPr>
          <w:ilvl w:val="0"/>
          <w:numId w:val="19"/>
        </w:numPr>
      </w:pPr>
      <w:r>
        <w:t>Ongoing updates throughout the incident.</w:t>
      </w:r>
    </w:p>
    <w:p w:rsidR="003B3556" w:rsidP="00F44076" w:rsidRDefault="00031491" w14:paraId="7F50B12E" w14:textId="77777777">
      <w:pPr>
        <w:pStyle w:val="ListParagraph"/>
        <w:numPr>
          <w:ilvl w:val="0"/>
          <w:numId w:val="19"/>
        </w:numPr>
      </w:pPr>
      <w:r>
        <w:t>Reports to NCFE and other relevant regulators as required.</w:t>
      </w:r>
    </w:p>
    <w:p w:rsidR="003B3556" w:rsidRDefault="00031491" w14:paraId="55AA2E8A" w14:textId="77777777">
      <w:pPr>
        <w:pStyle w:val="Heading1"/>
      </w:pPr>
      <w:r>
        <w:t>8. Monitoring and Review</w:t>
      </w:r>
    </w:p>
    <w:p w:rsidR="003B3556" w:rsidRDefault="00031491" w14:paraId="7CC855A5" w14:textId="77777777">
      <w:r>
        <w:t>This policy is reviewed annually or after any incident triggering its use. Lessons learned are incorporated into the next iteration. A version history and improvement log are maintained.</w:t>
      </w:r>
    </w:p>
    <w:p w:rsidR="003971E4" w:rsidRDefault="00031491" w14:paraId="2C8AA243" w14:textId="77777777">
      <w:pPr>
        <w:pStyle w:val="Heading1"/>
      </w:pPr>
      <w:r>
        <w:t>9. Regulatory Framework Reference</w:t>
      </w:r>
    </w:p>
    <w:p w:rsidR="003971E4" w:rsidRDefault="00031491" w14:paraId="5D7FBFFA" w14:textId="77777777">
      <w:r>
        <w:t>This policy is developed in accordance with Ofqual's General Conditions of Recognition, specifically:</w:t>
      </w:r>
      <w:r>
        <w:br/>
      </w:r>
      <w:r>
        <w:t>- B3: Adverse Effects</w:t>
      </w:r>
      <w:r>
        <w:br/>
      </w:r>
      <w:r>
        <w:t>- G4: Withdrawal of Approval</w:t>
      </w:r>
      <w:r>
        <w:br/>
      </w:r>
      <w:r>
        <w:br/>
      </w:r>
      <w:r>
        <w:t>These ensure that the awarding of qualifications is not adversely affected by operational changes or disruption.</w:t>
      </w:r>
    </w:p>
    <w:p w:rsidR="003971E4" w:rsidRDefault="00031491" w14:paraId="08F4B948" w14:textId="77777777">
      <w:pPr>
        <w:pStyle w:val="Heading1"/>
      </w:pPr>
      <w:r>
        <w:t>10. Scenario-Based Contingency Table</w:t>
      </w:r>
    </w:p>
    <w:p w:rsidR="003971E4" w:rsidRDefault="00031491" w14:paraId="2F74C25E" w14:textId="21AC917A">
      <w:r w:rsidR="00031491">
        <w:rPr/>
        <w:t xml:space="preserve">The following table illustrates </w:t>
      </w:r>
      <w:r w:rsidR="202A58A2">
        <w:rPr/>
        <w:t xml:space="preserve">some </w:t>
      </w:r>
      <w:r w:rsidR="00031491">
        <w:rPr/>
        <w:t>specific adverse events and Grad2Teach’s planned mitigations:</w:t>
      </w:r>
    </w:p>
    <w:p w:rsidR="003971E4" w:rsidRDefault="00031491" w14:paraId="2D51675E" w14:textId="6B460EDD">
      <w:r w:rsidR="00031491">
        <w:rPr/>
        <w:t>Scenario: IT System Failure</w:t>
      </w:r>
      <w:r>
        <w:br/>
      </w:r>
      <w:r w:rsidR="00031491">
        <w:rPr/>
        <w:t>Mitigation: Shift delivery to secure cloud-based platforms; extend deadlines; communicate promptly to learners</w:t>
      </w:r>
      <w:r w:rsidR="691AB38A">
        <w:rPr/>
        <w:t xml:space="preserve"> and training schools</w:t>
      </w:r>
      <w:r w:rsidR="00031491">
        <w:rPr/>
        <w:t>.</w:t>
      </w:r>
    </w:p>
    <w:p w:rsidR="003971E4" w:rsidRDefault="00031491" w14:paraId="26F7451C" w14:textId="77777777">
      <w:r>
        <w:t>Scenario: Lead Trainer Resignation</w:t>
      </w:r>
      <w:r>
        <w:br/>
      </w:r>
      <w:r>
        <w:t>Mitigation: Redeploy internal staff or recruit experienced associates; update delivery plan.</w:t>
      </w:r>
    </w:p>
    <w:p w:rsidR="003971E4" w:rsidRDefault="00031491" w14:paraId="77231358" w14:textId="77777777">
      <w:r>
        <w:t>Scenario: Site Closure (e.g. due to fire)</w:t>
      </w:r>
      <w:r>
        <w:br/>
      </w:r>
      <w:r>
        <w:t>Mitigation: Relocate delivery to partner schools or use online platforms like Microsoft Teams.</w:t>
      </w:r>
    </w:p>
    <w:p w:rsidR="003971E4" w:rsidRDefault="00031491" w14:paraId="17A9FE73" w14:textId="77777777">
      <w:r>
        <w:t>Scenario: NCFE Approval Withdrawal</w:t>
      </w:r>
      <w:r>
        <w:br/>
      </w:r>
      <w:r>
        <w:t>Mitigation: Notify learners and stakeholders; archive all learner data; coordinate transitions with NCFE and partner centres.</w:t>
      </w:r>
    </w:p>
    <w:p w:rsidR="003971E4" w:rsidRDefault="00031491" w14:paraId="6F932F68" w14:textId="77777777">
      <w:pPr>
        <w:pStyle w:val="Heading1"/>
      </w:pPr>
      <w:r>
        <w:t>11. Learner Feedback Mechanism</w:t>
      </w:r>
    </w:p>
    <w:p w:rsidR="003971E4" w:rsidRDefault="00031491" w14:paraId="7C8E9A5F" w14:textId="77777777">
      <w:r>
        <w:t>Following any event that triggers this policy, affected learners will be surveyed for feedback on the disruption and support provided.</w:t>
      </w:r>
    </w:p>
    <w:p w:rsidR="003971E4" w:rsidRDefault="00031491" w14:paraId="05C51671" w14:textId="77777777">
      <w:r>
        <w:t>Their feedback will be used to inform adjustments to the policy and strengthen future preparedness.</w:t>
      </w:r>
    </w:p>
    <w:p w:rsidR="003971E4" w:rsidRDefault="00031491" w14:paraId="74FA9E20" w14:textId="77777777">
      <w:pPr>
        <w:pStyle w:val="Heading1"/>
      </w:pPr>
      <w:r>
        <w:t>12. Named Escalation Contacts</w:t>
      </w:r>
    </w:p>
    <w:p w:rsidR="003971E4" w:rsidRDefault="00031491" w14:paraId="4D9130DA" w14:textId="77777777">
      <w:r>
        <w:t>Escalation contacts for contingency management are as follows: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1422"/>
        <w:gridCol w:w="2711"/>
        <w:gridCol w:w="2814"/>
      </w:tblGrid>
      <w:tr w:rsidRPr="00A41BC8" w:rsidR="00A41BC8" w:rsidTr="7648BD8E" w14:paraId="349DD06C" w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2F352895" w14:textId="77777777">
            <w:pPr>
              <w:rPr>
                <w:b/>
                <w:bCs/>
                <w:lang w:val="en-GB"/>
              </w:rPr>
            </w:pPr>
            <w:r w:rsidRPr="00A41BC8">
              <w:rPr>
                <w:b/>
                <w:bCs/>
                <w:lang w:val="en-GB"/>
              </w:rPr>
              <w:t>Role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2562B9DE" w14:textId="77777777">
            <w:pPr>
              <w:rPr>
                <w:b/>
                <w:bCs/>
                <w:lang w:val="en-GB"/>
              </w:rPr>
            </w:pPr>
            <w:r w:rsidRPr="00A41BC8">
              <w:rPr>
                <w:b/>
                <w:bCs/>
                <w:lang w:val="en-GB"/>
              </w:rPr>
              <w:t>Name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57814D0B" w14:textId="77777777">
            <w:pPr>
              <w:rPr>
                <w:b/>
                <w:bCs/>
                <w:lang w:val="en-GB"/>
              </w:rPr>
            </w:pPr>
            <w:r w:rsidRPr="00A41BC8">
              <w:rPr>
                <w:b/>
                <w:bCs/>
                <w:lang w:val="en-GB"/>
              </w:rPr>
              <w:t>Responsibility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16757F35" w14:textId="77777777">
            <w:pPr>
              <w:rPr>
                <w:b/>
                <w:bCs/>
                <w:lang w:val="en-GB"/>
              </w:rPr>
            </w:pPr>
            <w:r w:rsidRPr="00A41BC8">
              <w:rPr>
                <w:b/>
                <w:bCs/>
                <w:lang w:val="en-GB"/>
              </w:rPr>
              <w:t>Contact</w:t>
            </w:r>
          </w:p>
        </w:tc>
      </w:tr>
      <w:tr w:rsidRPr="00A41BC8" w:rsidR="00A41BC8" w:rsidTr="7648BD8E" w14:paraId="7C8B8246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2551939B" w14:textId="60EF9EAB">
            <w:pPr>
              <w:rPr>
                <w:lang w:val="en-GB"/>
              </w:rPr>
            </w:pPr>
            <w:r w:rsidRPr="7648BD8E" w:rsidR="3FE6CD29">
              <w:rPr>
                <w:lang w:val="en-GB"/>
              </w:rPr>
              <w:t xml:space="preserve">Managing </w:t>
            </w:r>
            <w:r w:rsidRPr="7648BD8E" w:rsidR="5D0C76E4">
              <w:rPr>
                <w:lang w:val="en-GB"/>
              </w:rPr>
              <w:t>Director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45986904" w14:textId="17996C7E">
            <w:pPr>
              <w:rPr>
                <w:lang w:val="en-GB"/>
              </w:rPr>
            </w:pPr>
            <w:r w:rsidRPr="7648BD8E" w:rsidR="3FDC6B4B">
              <w:rPr>
                <w:lang w:val="en-GB"/>
              </w:rPr>
              <w:t>Alex Braithwaite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030191C7" w14:textId="77777777">
            <w:pPr>
              <w:rPr>
                <w:lang w:val="en-GB"/>
              </w:rPr>
            </w:pPr>
            <w:r w:rsidRPr="00A41BC8">
              <w:rPr>
                <w:lang w:val="en-GB"/>
              </w:rPr>
              <w:t>Escalation lead &amp; approval response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6E42322B" w14:textId="412CD0A9">
            <w:pPr>
              <w:rPr>
                <w:lang w:val="en-GB"/>
              </w:rPr>
            </w:pPr>
            <w:r w:rsidRPr="7648BD8E" w:rsidR="2ED40D44">
              <w:rPr>
                <w:lang w:val="en-GB"/>
              </w:rPr>
              <w:t>alexb</w:t>
            </w:r>
            <w:r w:rsidRPr="7648BD8E" w:rsidR="5D0C76E4">
              <w:rPr>
                <w:lang w:val="en-GB"/>
              </w:rPr>
              <w:t>@grad2teach.ac.uk</w:t>
            </w:r>
          </w:p>
        </w:tc>
      </w:tr>
      <w:tr w:rsidRPr="00A41BC8" w:rsidR="00A41BC8" w:rsidTr="7648BD8E" w14:paraId="3A0C7A2D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0F11A281" w14:textId="77777777">
            <w:pPr>
              <w:rPr>
                <w:lang w:val="en-GB"/>
              </w:rPr>
            </w:pPr>
            <w:r w:rsidRPr="00A41BC8">
              <w:rPr>
                <w:lang w:val="en-GB"/>
              </w:rPr>
              <w:t>Teaching &amp; Learning Lead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3293F812" w14:textId="77777777">
            <w:pPr>
              <w:rPr>
                <w:lang w:val="en-GB"/>
              </w:rPr>
            </w:pPr>
            <w:r w:rsidRPr="00A41BC8">
              <w:rPr>
                <w:lang w:val="en-GB"/>
              </w:rPr>
              <w:t>Michelle Ellis-Tipton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71A08FC5" w14:textId="77777777">
            <w:pPr>
              <w:rPr>
                <w:lang w:val="en-GB"/>
              </w:rPr>
            </w:pPr>
            <w:r w:rsidRPr="00A41BC8">
              <w:rPr>
                <w:lang w:val="en-GB"/>
              </w:rPr>
              <w:t>Learner continuity and academic transition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37B8727A" w14:textId="77777777">
            <w:pPr>
              <w:rPr>
                <w:lang w:val="en-GB"/>
              </w:rPr>
            </w:pPr>
            <w:r w:rsidRPr="00A41BC8">
              <w:rPr>
                <w:lang w:val="en-GB"/>
              </w:rPr>
              <w:t>michelle@grad2teach.ac.uk</w:t>
            </w:r>
          </w:p>
        </w:tc>
      </w:tr>
      <w:tr w:rsidRPr="00A41BC8" w:rsidR="00A41BC8" w:rsidTr="7648BD8E" w14:paraId="1EE7196B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0BB7F19C" w14:textId="77777777">
            <w:pPr>
              <w:rPr>
                <w:lang w:val="en-GB"/>
              </w:rPr>
            </w:pPr>
            <w:r w:rsidRPr="00A41BC8">
              <w:rPr>
                <w:lang w:val="en-GB"/>
              </w:rPr>
              <w:t>IT Manager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2ABC984F" w14:textId="77777777">
            <w:pPr>
              <w:rPr>
                <w:lang w:val="en-GB"/>
              </w:rPr>
            </w:pPr>
            <w:r w:rsidRPr="00A41BC8">
              <w:rPr>
                <w:lang w:val="en-GB"/>
              </w:rPr>
              <w:t>Benjamin Pearson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202BCFBD" w14:textId="77777777">
            <w:pPr>
              <w:rPr>
                <w:lang w:val="en-GB"/>
              </w:rPr>
            </w:pPr>
            <w:r w:rsidRPr="00A41BC8">
              <w:rPr>
                <w:lang w:val="en-GB"/>
              </w:rPr>
              <w:t>Data integrity, backups and digital platforms</w:t>
            </w:r>
          </w:p>
        </w:tc>
        <w:tc>
          <w:tcPr>
            <w:tcW w:w="0" w:type="auto"/>
            <w:tcMar/>
            <w:vAlign w:val="center"/>
            <w:hideMark/>
          </w:tcPr>
          <w:p w:rsidRPr="00A41BC8" w:rsidR="00A41BC8" w:rsidP="00A41BC8" w:rsidRDefault="00A41BC8" w14:paraId="4BCD529C" w14:textId="77777777">
            <w:pPr>
              <w:rPr>
                <w:lang w:val="en-GB"/>
              </w:rPr>
            </w:pPr>
            <w:r w:rsidRPr="00A41BC8">
              <w:rPr>
                <w:lang w:val="en-GB"/>
              </w:rPr>
              <w:t>ben@grad2teach.ac.uk</w:t>
            </w:r>
          </w:p>
        </w:tc>
      </w:tr>
    </w:tbl>
    <w:p w:rsidR="00A41BC8" w:rsidRDefault="00A41BC8" w14:paraId="2E721DE7" w14:textId="77777777"/>
    <w:p w:rsidR="003971E4" w:rsidRDefault="00031491" w14:paraId="0997681C" w14:textId="77777777">
      <w:pPr>
        <w:pStyle w:val="Heading1"/>
      </w:pPr>
      <w:r>
        <w:t>13. Safeguarding During Disruption</w:t>
      </w:r>
    </w:p>
    <w:p w:rsidR="003971E4" w:rsidRDefault="00031491" w14:paraId="1081A93B" w14:textId="77777777">
      <w:r>
        <w:t>During any learner transition or change in training location/delivery model, Grad2Teach will maintain safeguarding practices aligned with KCSiE (Keeping Children Safe in Education).</w:t>
      </w:r>
    </w:p>
    <w:p w:rsidR="003971E4" w:rsidRDefault="00031491" w14:paraId="5945F29B" w14:textId="77777777">
      <w:r>
        <w:t>This includes ensuring designated safeguarding leads are informed and learners remain under suitable pastoral care arrangements.</w:t>
      </w:r>
    </w:p>
    <w:p w:rsidR="003971E4" w:rsidRDefault="00031491" w14:paraId="6B790AA9" w14:textId="77777777">
      <w:pPr>
        <w:pStyle w:val="Heading1"/>
      </w:pPr>
      <w:r>
        <w:t>14. Partner School Support Role</w:t>
      </w:r>
    </w:p>
    <w:p w:rsidR="003971E4" w:rsidRDefault="00031491" w14:paraId="1D9AD3E2" w14:textId="77777777">
      <w:r>
        <w:t>Grad2Teach works with a wide network of partner schools who may be engaged in providing emergency placement capacity in the event of disruption.</w:t>
      </w:r>
    </w:p>
    <w:p w:rsidR="003971E4" w:rsidRDefault="00031491" w14:paraId="57BF3A86" w14:textId="77777777">
      <w:r>
        <w:t>These schools are pre-approved and compliant with quality and safeguarding expectations to ensure seamless learner continuity.</w:t>
      </w:r>
    </w:p>
    <w:sectPr w:rsidR="003971E4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AC9" w:rsidP="00F44076" w:rsidRDefault="00F17AC9" w14:paraId="281A86A6" w14:textId="77777777">
      <w:pPr>
        <w:spacing w:after="0" w:line="240" w:lineRule="auto"/>
      </w:pPr>
      <w:r>
        <w:separator/>
      </w:r>
    </w:p>
  </w:endnote>
  <w:endnote w:type="continuationSeparator" w:id="0">
    <w:p w:rsidR="00F17AC9" w:rsidP="00F44076" w:rsidRDefault="00F17AC9" w14:paraId="181C5F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B21" w:rsidRDefault="00CD6B21" w14:paraId="7544704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B21" w:rsidRDefault="00CD6B21" w14:paraId="224CA29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B21" w:rsidRDefault="00CD6B21" w14:paraId="73903B3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AC9" w:rsidP="00F44076" w:rsidRDefault="00F17AC9" w14:paraId="4DB04610" w14:textId="77777777">
      <w:pPr>
        <w:spacing w:after="0" w:line="240" w:lineRule="auto"/>
      </w:pPr>
      <w:r>
        <w:separator/>
      </w:r>
    </w:p>
  </w:footnote>
  <w:footnote w:type="continuationSeparator" w:id="0">
    <w:p w:rsidR="00F17AC9" w:rsidP="00F44076" w:rsidRDefault="00F17AC9" w14:paraId="12B993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B21" w:rsidRDefault="00CD6B21" w14:paraId="7EF9E0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44076" w:rsidRDefault="00F44076" w14:paraId="1869D97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63005A" wp14:editId="04E2F06B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50810" cy="1842135"/>
          <wp:effectExtent l="0" t="0" r="2540" b="5715"/>
          <wp:wrapTight wrapText="bothSides">
            <wp:wrapPolygon edited="0">
              <wp:start x="0" y="0"/>
              <wp:lineTo x="0" y="21444"/>
              <wp:lineTo x="21554" y="21444"/>
              <wp:lineTo x="21554" y="0"/>
              <wp:lineTo x="0" y="0"/>
            </wp:wrapPolygon>
          </wp:wrapTight>
          <wp:docPr id="1446378210" name="Picture 2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378210" name="Picture 2" descr="A red and white sign with white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810" cy="184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B21" w:rsidRDefault="00CD6B21" w14:paraId="0FDCA1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8AD309F"/>
    <w:multiLevelType w:val="hybridMultilevel"/>
    <w:tmpl w:val="FFF04B5E"/>
    <w:lvl w:ilvl="0" w:tplc="CE4AA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8806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D0A1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7CFF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EEBC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B482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9289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0C7C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822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494CBB"/>
    <w:multiLevelType w:val="hybridMultilevel"/>
    <w:tmpl w:val="E1C24B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A340FA"/>
    <w:multiLevelType w:val="hybridMultilevel"/>
    <w:tmpl w:val="F050F0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F53A7F"/>
    <w:multiLevelType w:val="hybridMultilevel"/>
    <w:tmpl w:val="AB0C7A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726A66"/>
    <w:multiLevelType w:val="hybridMultilevel"/>
    <w:tmpl w:val="14484F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1504D3"/>
    <w:multiLevelType w:val="hybridMultilevel"/>
    <w:tmpl w:val="78CA3A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2E23A5"/>
    <w:multiLevelType w:val="hybridMultilevel"/>
    <w:tmpl w:val="30C420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DA3A36"/>
    <w:multiLevelType w:val="hybridMultilevel"/>
    <w:tmpl w:val="B4AA7E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576E76"/>
    <w:multiLevelType w:val="hybridMultilevel"/>
    <w:tmpl w:val="E8721140"/>
    <w:lvl w:ilvl="0" w:tplc="FFD650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64CF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8A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A03F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9095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B084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5ECC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C03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B05B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F6C0268"/>
    <w:multiLevelType w:val="hybridMultilevel"/>
    <w:tmpl w:val="5150F032"/>
    <w:lvl w:ilvl="0" w:tplc="734228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887C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A47A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A8BE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9C2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46C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9EA8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524D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585B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9835232">
    <w:abstractNumId w:val="18"/>
  </w:num>
  <w:num w:numId="2" w16cid:durableId="1139881250">
    <w:abstractNumId w:val="9"/>
  </w:num>
  <w:num w:numId="3" w16cid:durableId="569117766">
    <w:abstractNumId w:val="17"/>
  </w:num>
  <w:num w:numId="4" w16cid:durableId="273095518">
    <w:abstractNumId w:val="8"/>
  </w:num>
  <w:num w:numId="5" w16cid:durableId="638995961">
    <w:abstractNumId w:val="6"/>
  </w:num>
  <w:num w:numId="6" w16cid:durableId="846554418">
    <w:abstractNumId w:val="5"/>
  </w:num>
  <w:num w:numId="7" w16cid:durableId="825587178">
    <w:abstractNumId w:val="4"/>
  </w:num>
  <w:num w:numId="8" w16cid:durableId="1893225636">
    <w:abstractNumId w:val="7"/>
  </w:num>
  <w:num w:numId="9" w16cid:durableId="1388528894">
    <w:abstractNumId w:val="3"/>
  </w:num>
  <w:num w:numId="10" w16cid:durableId="1396471217">
    <w:abstractNumId w:val="2"/>
  </w:num>
  <w:num w:numId="11" w16cid:durableId="1556116663">
    <w:abstractNumId w:val="1"/>
  </w:num>
  <w:num w:numId="12" w16cid:durableId="2016417806">
    <w:abstractNumId w:val="0"/>
  </w:num>
  <w:num w:numId="13" w16cid:durableId="328481802">
    <w:abstractNumId w:val="11"/>
  </w:num>
  <w:num w:numId="14" w16cid:durableId="1027366539">
    <w:abstractNumId w:val="13"/>
  </w:num>
  <w:num w:numId="15" w16cid:durableId="1220677541">
    <w:abstractNumId w:val="15"/>
  </w:num>
  <w:num w:numId="16" w16cid:durableId="1345472648">
    <w:abstractNumId w:val="14"/>
  </w:num>
  <w:num w:numId="17" w16cid:durableId="1166289757">
    <w:abstractNumId w:val="16"/>
  </w:num>
  <w:num w:numId="18" w16cid:durableId="217789133">
    <w:abstractNumId w:val="12"/>
  </w:num>
  <w:num w:numId="19" w16cid:durableId="161154641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491"/>
    <w:rsid w:val="00034616"/>
    <w:rsid w:val="0006063C"/>
    <w:rsid w:val="0015074B"/>
    <w:rsid w:val="00207921"/>
    <w:rsid w:val="0029639D"/>
    <w:rsid w:val="00326F90"/>
    <w:rsid w:val="003971E4"/>
    <w:rsid w:val="003B3556"/>
    <w:rsid w:val="00576306"/>
    <w:rsid w:val="005B4C30"/>
    <w:rsid w:val="005F1CBB"/>
    <w:rsid w:val="00653C3E"/>
    <w:rsid w:val="00684E7B"/>
    <w:rsid w:val="00780FB8"/>
    <w:rsid w:val="00A41BC8"/>
    <w:rsid w:val="00AA1D8D"/>
    <w:rsid w:val="00B47730"/>
    <w:rsid w:val="00CB0664"/>
    <w:rsid w:val="00CD6B21"/>
    <w:rsid w:val="00F17AC9"/>
    <w:rsid w:val="00F44076"/>
    <w:rsid w:val="00FC693F"/>
    <w:rsid w:val="0437020D"/>
    <w:rsid w:val="076910DD"/>
    <w:rsid w:val="0DBA0704"/>
    <w:rsid w:val="105F67BE"/>
    <w:rsid w:val="1407807E"/>
    <w:rsid w:val="14C71FE2"/>
    <w:rsid w:val="1AD7F45E"/>
    <w:rsid w:val="1BEE9219"/>
    <w:rsid w:val="1F89360A"/>
    <w:rsid w:val="202A58A2"/>
    <w:rsid w:val="21E9AA09"/>
    <w:rsid w:val="22A9AA41"/>
    <w:rsid w:val="25CC2900"/>
    <w:rsid w:val="288910B6"/>
    <w:rsid w:val="292509DD"/>
    <w:rsid w:val="2B5AFE2B"/>
    <w:rsid w:val="2ED40D44"/>
    <w:rsid w:val="2F522C98"/>
    <w:rsid w:val="31E7224B"/>
    <w:rsid w:val="3256470F"/>
    <w:rsid w:val="33DEBB1C"/>
    <w:rsid w:val="342A9017"/>
    <w:rsid w:val="347B04D8"/>
    <w:rsid w:val="352B4AD9"/>
    <w:rsid w:val="371E680B"/>
    <w:rsid w:val="3871D16A"/>
    <w:rsid w:val="388D48EA"/>
    <w:rsid w:val="3E749364"/>
    <w:rsid w:val="3F0EF13D"/>
    <w:rsid w:val="3FDC6B4B"/>
    <w:rsid w:val="3FE6CD29"/>
    <w:rsid w:val="4139C520"/>
    <w:rsid w:val="41DA6D0A"/>
    <w:rsid w:val="42600002"/>
    <w:rsid w:val="4481343F"/>
    <w:rsid w:val="44CDAA30"/>
    <w:rsid w:val="44D32871"/>
    <w:rsid w:val="45E6BE9A"/>
    <w:rsid w:val="48A503D4"/>
    <w:rsid w:val="48C8B9ED"/>
    <w:rsid w:val="4A3D11CA"/>
    <w:rsid w:val="4B1F163F"/>
    <w:rsid w:val="4DD500BA"/>
    <w:rsid w:val="4FC26B84"/>
    <w:rsid w:val="52066E82"/>
    <w:rsid w:val="536C8966"/>
    <w:rsid w:val="55376C80"/>
    <w:rsid w:val="559DF50D"/>
    <w:rsid w:val="57FB1840"/>
    <w:rsid w:val="59C4E92E"/>
    <w:rsid w:val="5A8DE4E3"/>
    <w:rsid w:val="5C1B69C6"/>
    <w:rsid w:val="5D0C76E4"/>
    <w:rsid w:val="5D7C224D"/>
    <w:rsid w:val="5DE7389E"/>
    <w:rsid w:val="5F8CE0A8"/>
    <w:rsid w:val="6660CF25"/>
    <w:rsid w:val="691AB38A"/>
    <w:rsid w:val="6D3D58F7"/>
    <w:rsid w:val="6F095B5E"/>
    <w:rsid w:val="73ABF1D5"/>
    <w:rsid w:val="75179994"/>
    <w:rsid w:val="7648BD8E"/>
    <w:rsid w:val="791290A1"/>
    <w:rsid w:val="79DC06FA"/>
    <w:rsid w:val="7BD45391"/>
    <w:rsid w:val="7C780F3E"/>
    <w:rsid w:val="7E4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B3AB8"/>
  <w14:defaultImageDpi w14:val="300"/>
  <w15:docId w15:val="{2B51CCE3-C39C-4744-9A63-186A3ABC20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9f7603a4084cc55b4dcfac64854be724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4648b9eb8a037d3779e821281768118f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ABnotes xmlns="e5873d33-56ae-40f9-8b97-64a660b0ab54">Not checked</ABnotes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C101B48E-22B3-4497-B323-F0AAF7FB0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AED5D-CC6A-4C29-9801-617575EAAE5B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55C53-7695-434E-9EEF-21DF5434CA55}">
  <ds:schemaRefs>
    <ds:schemaRef ds:uri="http://schemas.microsoft.com/office/2006/metadata/properties"/>
    <ds:schemaRef ds:uri="http://schemas.microsoft.com/office/infopath/2007/PartnerControls"/>
    <ds:schemaRef ds:uri="65367d0b-6b95-4f86-8389-3282b3846db3"/>
    <ds:schemaRef ds:uri="b3aa22f9-cc7b-464c-a307-4f3ca8762b1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 Braithwaite</lastModifiedBy>
  <revision>8</revision>
  <dcterms:created xsi:type="dcterms:W3CDTF">2025-07-23T13:46:00.0000000Z</dcterms:created>
  <dcterms:modified xsi:type="dcterms:W3CDTF">2026-05-05T11:31:47.1525976Z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  <property fmtid="{D5CDD505-2E9C-101B-9397-08002B2CF9AE}" pid="3" name="MediaServiceImageTags">
    <vt:lpwstr/>
  </property>
</Properties>
</file>