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F29" w:rsidP="191A0A4B" w:rsidRDefault="002920DD" w14:paraId="321C81B8" w14:textId="77777777">
      <w:pPr>
        <w:pStyle w:val="Title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Grad2Teach Malpractice and Plagiarism Policy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191A0A4B" w:rsidTr="7FCD7DAF" w14:paraId="64E1107E" w14:textId="77777777">
        <w:trPr>
          <w:trHeight w:val="30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191A0A4B" w:rsidP="191A0A4B" w:rsidRDefault="191A0A4B" w14:paraId="0A8B752D" w14:textId="6AFB956F">
            <w:pPr>
              <w:rPr>
                <w:rFonts w:ascii="Arial" w:hAnsi="Arial" w:eastAsia="Arial" w:cs="Arial"/>
              </w:rPr>
            </w:pPr>
            <w:r w:rsidRPr="191A0A4B">
              <w:rPr>
                <w:rFonts w:ascii="Arial" w:hAnsi="Arial" w:eastAsia="Arial" w:cs="Arial"/>
              </w:rPr>
              <w:t>Policy Number</w:t>
            </w:r>
          </w:p>
        </w:tc>
        <w:tc>
          <w:tcPr>
            <w:tcW w:w="2160" w:type="dxa"/>
            <w:tcBorders>
              <w:top w:val="single" w:color="auto" w:sz="6" w:space="0"/>
            </w:tcBorders>
            <w:tcMar>
              <w:left w:w="105" w:type="dxa"/>
              <w:right w:w="105" w:type="dxa"/>
            </w:tcMar>
          </w:tcPr>
          <w:p w:rsidR="191A0A4B" w:rsidP="191A0A4B" w:rsidRDefault="191A0A4B" w14:paraId="457AF293" w14:textId="3499FED9">
            <w:pPr>
              <w:rPr>
                <w:rFonts w:ascii="Arial" w:hAnsi="Arial" w:eastAsia="Arial" w:cs="Arial"/>
              </w:rPr>
            </w:pPr>
            <w:r w:rsidRPr="191A0A4B">
              <w:rPr>
                <w:rFonts w:ascii="Arial" w:hAnsi="Arial" w:eastAsia="Arial" w:cs="Arial"/>
              </w:rPr>
              <w:t>Version</w:t>
            </w:r>
          </w:p>
        </w:tc>
        <w:tc>
          <w:tcPr>
            <w:tcW w:w="2160" w:type="dxa"/>
            <w:tcBorders>
              <w:top w:val="single" w:color="auto" w:sz="6" w:space="0"/>
            </w:tcBorders>
            <w:tcMar>
              <w:left w:w="105" w:type="dxa"/>
              <w:right w:w="105" w:type="dxa"/>
            </w:tcMar>
          </w:tcPr>
          <w:p w:rsidR="191A0A4B" w:rsidP="191A0A4B" w:rsidRDefault="191A0A4B" w14:paraId="252F6225" w14:textId="0D03324D">
            <w:pPr>
              <w:rPr>
                <w:rFonts w:ascii="Arial" w:hAnsi="Arial" w:eastAsia="Arial" w:cs="Arial"/>
              </w:rPr>
            </w:pPr>
            <w:r w:rsidRPr="191A0A4B">
              <w:rPr>
                <w:rFonts w:ascii="Arial" w:hAnsi="Arial" w:eastAsia="Arial" w:cs="Arial"/>
              </w:rPr>
              <w:t>Issue Date</w:t>
            </w:r>
          </w:p>
        </w:tc>
        <w:tc>
          <w:tcPr>
            <w:tcW w:w="2160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1A0A4B" w:rsidP="191A0A4B" w:rsidRDefault="191A0A4B" w14:paraId="33FE48C5" w14:textId="74F0F30C">
            <w:pPr>
              <w:rPr>
                <w:rFonts w:ascii="Arial" w:hAnsi="Arial" w:eastAsia="Arial" w:cs="Arial"/>
              </w:rPr>
            </w:pPr>
            <w:r w:rsidRPr="191A0A4B">
              <w:rPr>
                <w:rFonts w:ascii="Arial" w:hAnsi="Arial" w:eastAsia="Arial" w:cs="Arial"/>
              </w:rPr>
              <w:t>Review Date</w:t>
            </w:r>
          </w:p>
        </w:tc>
      </w:tr>
      <w:tr w:rsidR="191A0A4B" w:rsidTr="7FCD7DAF" w14:paraId="2ADBCEA9" w14:textId="77777777">
        <w:trPr>
          <w:trHeight w:val="300"/>
        </w:trPr>
        <w:tc>
          <w:tcPr>
            <w:tcW w:w="2160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191A0A4B" w:rsidP="191A0A4B" w:rsidRDefault="191A0A4B" w14:paraId="42F53238" w14:textId="3F9F57A4">
            <w:pPr>
              <w:rPr>
                <w:rFonts w:ascii="Arial" w:hAnsi="Arial" w:eastAsia="Arial" w:cs="Arial"/>
              </w:rPr>
            </w:pPr>
            <w:r w:rsidRPr="7EBB8073" w:rsidR="191A0A4B">
              <w:rPr>
                <w:rFonts w:ascii="Arial" w:hAnsi="Arial" w:eastAsia="Arial" w:cs="Arial"/>
              </w:rPr>
              <w:t>G2T-PMO-03.02.</w:t>
            </w:r>
            <w:r w:rsidRPr="7EBB8073" w:rsidR="0996B7EB">
              <w:rPr>
                <w:rFonts w:ascii="Arial" w:hAnsi="Arial" w:eastAsia="Arial" w:cs="Arial"/>
              </w:rPr>
              <w:t>73</w:t>
            </w:r>
          </w:p>
        </w:tc>
        <w:tc>
          <w:tcPr>
            <w:tcW w:w="2160" w:type="dxa"/>
            <w:tcBorders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191A0A4B" w:rsidP="191A0A4B" w:rsidRDefault="191A0A4B" w14:paraId="55DC89FB" w14:textId="7A165B5E">
            <w:pPr>
              <w:rPr>
                <w:rFonts w:ascii="Arial" w:hAnsi="Arial" w:eastAsia="Arial" w:cs="Arial"/>
              </w:rPr>
            </w:pPr>
            <w:r w:rsidRPr="53FAF8D0" w:rsidR="3159C579">
              <w:rPr>
                <w:rFonts w:ascii="Arial" w:hAnsi="Arial" w:eastAsia="Arial" w:cs="Arial"/>
              </w:rPr>
              <w:t>2</w:t>
            </w:r>
            <w:r w:rsidRPr="53FAF8D0" w:rsidR="191A0A4B">
              <w:rPr>
                <w:rFonts w:ascii="Arial" w:hAnsi="Arial" w:eastAsia="Arial" w:cs="Arial"/>
              </w:rPr>
              <w:t>.0</w:t>
            </w:r>
          </w:p>
        </w:tc>
        <w:tc>
          <w:tcPr>
            <w:tcW w:w="2160" w:type="dxa"/>
            <w:tcBorders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191A0A4B" w:rsidP="2F92F2FA" w:rsidRDefault="4EAC8BAA" w14:paraId="4208582E" w14:textId="5ECCFBE9">
            <w:pPr>
              <w:rPr>
                <w:rFonts w:ascii="Arial" w:hAnsi="Arial" w:eastAsia="Arial" w:cs="Arial"/>
              </w:rPr>
            </w:pPr>
            <w:r w:rsidRPr="53FAF8D0" w:rsidR="4EAC8BAA">
              <w:rPr>
                <w:rFonts w:ascii="Arial" w:hAnsi="Arial" w:eastAsia="Arial" w:cs="Arial"/>
              </w:rPr>
              <w:t>23.0</w:t>
            </w:r>
            <w:r w:rsidRPr="53FAF8D0" w:rsidR="51893AE2">
              <w:rPr>
                <w:rFonts w:ascii="Arial" w:hAnsi="Arial" w:eastAsia="Arial" w:cs="Arial"/>
              </w:rPr>
              <w:t>4</w:t>
            </w:r>
            <w:r w:rsidRPr="53FAF8D0" w:rsidR="4EAC8BAA">
              <w:rPr>
                <w:rFonts w:ascii="Arial" w:hAnsi="Arial" w:eastAsia="Arial" w:cs="Arial"/>
              </w:rPr>
              <w:t>.202</w:t>
            </w:r>
            <w:r w:rsidRPr="53FAF8D0" w:rsidR="00C6723D">
              <w:rPr>
                <w:rFonts w:ascii="Arial" w:hAnsi="Arial" w:eastAsia="Arial" w:cs="Arial"/>
              </w:rPr>
              <w:t>6</w:t>
            </w:r>
          </w:p>
        </w:tc>
        <w:tc>
          <w:tcPr>
            <w:tcW w:w="2160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91A0A4B" w:rsidP="2F92F2FA" w:rsidRDefault="4EAC8BAA" w14:paraId="7D218904" w14:textId="07831226">
            <w:pPr>
              <w:rPr>
                <w:rFonts w:ascii="Arial" w:hAnsi="Arial" w:eastAsia="Arial" w:cs="Arial"/>
              </w:rPr>
            </w:pPr>
            <w:r w:rsidRPr="7FCD7DAF" w:rsidR="4EAC8BAA">
              <w:rPr>
                <w:rFonts w:ascii="Arial" w:hAnsi="Arial" w:eastAsia="Arial" w:cs="Arial"/>
              </w:rPr>
              <w:t>2</w:t>
            </w:r>
            <w:r w:rsidRPr="7FCD7DAF" w:rsidR="63447740">
              <w:rPr>
                <w:rFonts w:ascii="Arial" w:hAnsi="Arial" w:eastAsia="Arial" w:cs="Arial"/>
              </w:rPr>
              <w:t>6</w:t>
            </w:r>
            <w:r w:rsidRPr="7FCD7DAF" w:rsidR="4EAC8BAA">
              <w:rPr>
                <w:rFonts w:ascii="Arial" w:hAnsi="Arial" w:eastAsia="Arial" w:cs="Arial"/>
              </w:rPr>
              <w:t>.0</w:t>
            </w:r>
            <w:r w:rsidRPr="7FCD7DAF" w:rsidR="64616E8E">
              <w:rPr>
                <w:rFonts w:ascii="Arial" w:hAnsi="Arial" w:eastAsia="Arial" w:cs="Arial"/>
              </w:rPr>
              <w:t>8</w:t>
            </w:r>
            <w:r w:rsidRPr="7FCD7DAF" w:rsidR="4EAC8BAA">
              <w:rPr>
                <w:rFonts w:ascii="Arial" w:hAnsi="Arial" w:eastAsia="Arial" w:cs="Arial"/>
              </w:rPr>
              <w:t>.2026</w:t>
            </w:r>
          </w:p>
        </w:tc>
      </w:tr>
    </w:tbl>
    <w:p w:rsidR="191A0A4B" w:rsidP="191A0A4B" w:rsidRDefault="191A0A4B" w14:paraId="10B96CE0" w14:textId="26637EAB">
      <w:pPr>
        <w:rPr>
          <w:rFonts w:ascii="Arial" w:hAnsi="Arial" w:eastAsia="Arial" w:cs="Arial"/>
          <w:color w:val="000000" w:themeColor="text1"/>
        </w:rPr>
      </w:pPr>
    </w:p>
    <w:p w:rsidR="70BA45FC" w:rsidP="53FAF8D0" w:rsidRDefault="70BA45FC" w14:paraId="66B72F49" w14:textId="50B68C19">
      <w:pPr>
        <w:rPr>
          <w:rFonts w:ascii="Arial" w:hAnsi="Arial" w:eastAsia="Arial" w:cs="Arial"/>
          <w:color w:val="000000" w:themeColor="text1" w:themeTint="FF" w:themeShade="FF"/>
        </w:rPr>
      </w:pPr>
      <w:r w:rsidRPr="53FAF8D0" w:rsidR="70BA45FC">
        <w:rPr>
          <w:rFonts w:ascii="Arial" w:hAnsi="Arial" w:eastAsia="Arial" w:cs="Arial"/>
          <w:color w:val="000000" w:themeColor="text1" w:themeTint="FF" w:themeShade="FF"/>
        </w:rPr>
        <w:t xml:space="preserve">Approved By: </w:t>
      </w:r>
      <w:r w:rsidRPr="53FAF8D0" w:rsidR="134D936E">
        <w:rPr>
          <w:rFonts w:ascii="Arial" w:hAnsi="Arial" w:eastAsia="Arial" w:cs="Arial"/>
          <w:color w:val="000000" w:themeColor="text1" w:themeTint="FF" w:themeShade="FF"/>
        </w:rPr>
        <w:t>Course Manager</w:t>
      </w:r>
    </w:p>
    <w:p w:rsidR="70BA45FC" w:rsidP="2F92F2FA" w:rsidRDefault="70BA45FC" w14:paraId="6FAB5FBA" w14:textId="3F4A2D34">
      <w:pPr>
        <w:rPr>
          <w:rFonts w:ascii="Arial" w:hAnsi="Arial" w:eastAsia="Arial" w:cs="Arial"/>
          <w:color w:val="000000" w:themeColor="text1"/>
        </w:rPr>
      </w:pPr>
      <w:r w:rsidRPr="53FAF8D0" w:rsidR="70BA45FC">
        <w:rPr>
          <w:rFonts w:ascii="Arial" w:hAnsi="Arial" w:eastAsia="Arial" w:cs="Arial"/>
          <w:color w:val="000000" w:themeColor="text1" w:themeTint="FF" w:themeShade="FF"/>
        </w:rPr>
        <w:t xml:space="preserve">Owner: </w:t>
      </w:r>
      <w:r w:rsidRPr="53FAF8D0" w:rsidR="23B288EB">
        <w:rPr>
          <w:rFonts w:ascii="Arial" w:hAnsi="Arial" w:eastAsia="Arial" w:cs="Arial"/>
          <w:color w:val="000000" w:themeColor="text1" w:themeTint="FF" w:themeShade="FF"/>
        </w:rPr>
        <w:t xml:space="preserve">Managing </w:t>
      </w:r>
      <w:r w:rsidRPr="53FAF8D0" w:rsidR="486434FD">
        <w:rPr>
          <w:rFonts w:ascii="Arial" w:hAnsi="Arial" w:eastAsia="Arial" w:cs="Arial"/>
          <w:color w:val="000000" w:themeColor="text1" w:themeTint="FF" w:themeShade="FF"/>
        </w:rPr>
        <w:t>Director (</w:t>
      </w:r>
      <w:r w:rsidRPr="53FAF8D0" w:rsidR="70BA45FC">
        <w:rPr>
          <w:rFonts w:ascii="Arial" w:hAnsi="Arial" w:eastAsia="Arial" w:cs="Arial"/>
          <w:color w:val="000000" w:themeColor="text1" w:themeTint="FF" w:themeShade="FF"/>
        </w:rPr>
        <w:t>Head of Quality and Compliance</w:t>
      </w:r>
      <w:r w:rsidRPr="53FAF8D0" w:rsidR="4714F765">
        <w:rPr>
          <w:rFonts w:ascii="Arial" w:hAnsi="Arial" w:eastAsia="Arial" w:cs="Arial"/>
          <w:color w:val="000000" w:themeColor="text1" w:themeTint="FF" w:themeShade="FF"/>
        </w:rPr>
        <w:t>)</w:t>
      </w:r>
    </w:p>
    <w:p w:rsidR="005B3F29" w:rsidP="191A0A4B" w:rsidRDefault="002920DD" w14:paraId="0D38B5EC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1. Policy Statement</w:t>
      </w:r>
    </w:p>
    <w:p w:rsidR="005B3F29" w:rsidP="191A0A4B" w:rsidRDefault="002920DD" w14:paraId="53A7E2FE" w14:textId="77777777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 xml:space="preserve">Grad2Teach is committed to upholding the highest standards of integrity, fairness, and transparency in all aspects of assessment and </w:t>
      </w:r>
      <w:proofErr w:type="spellStart"/>
      <w:r w:rsidRPr="191A0A4B">
        <w:rPr>
          <w:rFonts w:ascii="Arial Nova" w:hAnsi="Arial Nova" w:eastAsia="Arial Nova" w:cs="Arial Nova"/>
        </w:rPr>
        <w:t>programme</w:t>
      </w:r>
      <w:proofErr w:type="spellEnd"/>
      <w:r w:rsidRPr="191A0A4B">
        <w:rPr>
          <w:rFonts w:ascii="Arial Nova" w:hAnsi="Arial Nova" w:eastAsia="Arial Nova" w:cs="Arial Nova"/>
        </w:rPr>
        <w:t xml:space="preserve"> delivery. We have a zero-tolerance approach to malpractice and plagiarism to protect the validity of our qualifications and the reputation of all learners and stakeholders.</w:t>
      </w:r>
    </w:p>
    <w:p w:rsidR="005B3F29" w:rsidP="191A0A4B" w:rsidRDefault="002920DD" w14:paraId="6ABC1651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2. Purpose and Scope</w:t>
      </w:r>
    </w:p>
    <w:p w:rsidR="005B3F29" w:rsidP="191A0A4B" w:rsidRDefault="002920DD" w14:paraId="4CB11EC8" w14:textId="77777777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This policy applies to:</w:t>
      </w:r>
    </w:p>
    <w:p w:rsidR="002920DD" w:rsidP="191A0A4B" w:rsidRDefault="002920DD" w14:paraId="20D8787B" w14:textId="5E6E5B76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</w:rPr>
      </w:pPr>
      <w:r w:rsidRPr="300A3E6D" w:rsidR="002920DD">
        <w:rPr>
          <w:rFonts w:ascii="Arial Nova" w:hAnsi="Arial Nova" w:eastAsia="Arial Nova" w:cs="Arial Nova"/>
        </w:rPr>
        <w:t>All Grad2Teach trainees and learners</w:t>
      </w:r>
      <w:r w:rsidRPr="300A3E6D" w:rsidR="384A5BEC">
        <w:rPr>
          <w:rFonts w:ascii="Arial Nova" w:hAnsi="Arial Nova" w:eastAsia="Arial Nova" w:cs="Arial Nova"/>
        </w:rPr>
        <w:t>.</w:t>
      </w:r>
    </w:p>
    <w:p w:rsidR="002920DD" w:rsidP="191A0A4B" w:rsidRDefault="002920DD" w14:paraId="68F3042D" w14:textId="4AF22FFB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</w:rPr>
      </w:pPr>
      <w:r w:rsidRPr="300A3E6D" w:rsidR="002920DD">
        <w:rPr>
          <w:rFonts w:ascii="Arial Nova" w:hAnsi="Arial Nova" w:eastAsia="Arial Nova" w:cs="Arial Nova"/>
        </w:rPr>
        <w:t xml:space="preserve">All employees, including assessors, IQAs, and </w:t>
      </w:r>
      <w:r w:rsidRPr="300A3E6D" w:rsidR="002920DD">
        <w:rPr>
          <w:rFonts w:ascii="Arial Nova" w:hAnsi="Arial Nova" w:eastAsia="Arial Nova" w:cs="Arial Nova"/>
        </w:rPr>
        <w:t>programme</w:t>
      </w:r>
      <w:r w:rsidRPr="300A3E6D" w:rsidR="002920DD">
        <w:rPr>
          <w:rFonts w:ascii="Arial Nova" w:hAnsi="Arial Nova" w:eastAsia="Arial Nova" w:cs="Arial Nova"/>
        </w:rPr>
        <w:t xml:space="preserve"> staff</w:t>
      </w:r>
      <w:r w:rsidRPr="300A3E6D" w:rsidR="36D436E4">
        <w:rPr>
          <w:rFonts w:ascii="Arial Nova" w:hAnsi="Arial Nova" w:eastAsia="Arial Nova" w:cs="Arial Nova"/>
        </w:rPr>
        <w:t>.</w:t>
      </w:r>
    </w:p>
    <w:p w:rsidR="005B3F29" w:rsidP="191A0A4B" w:rsidRDefault="002920DD" w14:paraId="2238921F" w14:textId="37B4174A">
      <w:pPr>
        <w:pStyle w:val="ListParagraph"/>
        <w:numPr>
          <w:ilvl w:val="0"/>
          <w:numId w:val="12"/>
        </w:numPr>
        <w:rPr>
          <w:rFonts w:ascii="Arial Nova" w:hAnsi="Arial Nova" w:eastAsia="Arial Nova" w:cs="Arial Nova"/>
        </w:rPr>
      </w:pPr>
      <w:r w:rsidRPr="300A3E6D" w:rsidR="002920DD">
        <w:rPr>
          <w:rFonts w:ascii="Arial Nova" w:hAnsi="Arial Nova" w:eastAsia="Arial Nova" w:cs="Arial Nova"/>
        </w:rPr>
        <w:t>Partner schools and placement providers</w:t>
      </w:r>
      <w:r w:rsidRPr="300A3E6D" w:rsidR="0B3DC5DD">
        <w:rPr>
          <w:rFonts w:ascii="Arial Nova" w:hAnsi="Arial Nova" w:eastAsia="Arial Nova" w:cs="Arial Nova"/>
        </w:rPr>
        <w:t>.</w:t>
      </w:r>
    </w:p>
    <w:p w:rsidR="005B3F29" w:rsidP="191A0A4B" w:rsidRDefault="002920DD" w14:paraId="6F4A64AF" w14:textId="77777777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 xml:space="preserve">It applies to all activities relating to </w:t>
      </w:r>
      <w:proofErr w:type="spellStart"/>
      <w:r w:rsidRPr="191A0A4B">
        <w:rPr>
          <w:rFonts w:ascii="Arial Nova" w:hAnsi="Arial Nova" w:eastAsia="Arial Nova" w:cs="Arial Nova"/>
        </w:rPr>
        <w:t>Customised</w:t>
      </w:r>
      <w:proofErr w:type="spellEnd"/>
      <w:r w:rsidRPr="191A0A4B">
        <w:rPr>
          <w:rFonts w:ascii="Arial Nova" w:hAnsi="Arial Nova" w:eastAsia="Arial Nova" w:cs="Arial Nova"/>
        </w:rPr>
        <w:t xml:space="preserve"> Qualifications, PGCE </w:t>
      </w:r>
      <w:proofErr w:type="spellStart"/>
      <w:r w:rsidRPr="191A0A4B">
        <w:rPr>
          <w:rFonts w:ascii="Arial Nova" w:hAnsi="Arial Nova" w:eastAsia="Arial Nova" w:cs="Arial Nova"/>
        </w:rPr>
        <w:t>programmes</w:t>
      </w:r>
      <w:proofErr w:type="spellEnd"/>
      <w:r w:rsidRPr="191A0A4B">
        <w:rPr>
          <w:rFonts w:ascii="Arial Nova" w:hAnsi="Arial Nova" w:eastAsia="Arial Nova" w:cs="Arial Nova"/>
        </w:rPr>
        <w:t>, and assessments conducted under the Grad2Teach banner.</w:t>
      </w:r>
    </w:p>
    <w:p w:rsidR="005B3F29" w:rsidP="191A0A4B" w:rsidRDefault="002920DD" w14:paraId="14057AF9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3. Definitions</w:t>
      </w:r>
    </w:p>
    <w:p w:rsidR="61E5C224" w:rsidP="30155D4D" w:rsidRDefault="61E5C224" w14:paraId="27A1C452" w14:textId="22352549">
      <w:pPr>
        <w:rPr>
          <w:rFonts w:ascii="Arial Nova" w:hAnsi="Arial Nova" w:eastAsia="Arial Nova" w:cs="Arial Nova"/>
          <w:i w:val="1"/>
          <w:iCs w:val="1"/>
        </w:rPr>
      </w:pPr>
      <w:r w:rsidRPr="30155D4D" w:rsidR="61E5C224">
        <w:rPr>
          <w:rFonts w:ascii="Arial Nova" w:hAnsi="Arial Nova" w:eastAsia="Arial Nova" w:cs="Arial Nova"/>
          <w:i w:val="0"/>
          <w:iCs w:val="0"/>
        </w:rPr>
        <w:t>Malpractice includes, but is not limited to</w:t>
      </w:r>
      <w:r w:rsidRPr="30155D4D" w:rsidR="61E5C224">
        <w:rPr>
          <w:rFonts w:ascii="Arial Nova" w:hAnsi="Arial Nova" w:eastAsia="Arial Nova" w:cs="Arial Nova"/>
          <w:i w:val="0"/>
          <w:iCs w:val="0"/>
        </w:rPr>
        <w:t>:</w:t>
      </w:r>
    </w:p>
    <w:p w:rsidR="61E5C224" w:rsidP="191A0A4B" w:rsidRDefault="61E5C224" w14:paraId="558143D4" w14:textId="2EC6DC5A">
      <w:pPr>
        <w:pStyle w:val="ListParagraph"/>
        <w:numPr>
          <w:ilvl w:val="0"/>
          <w:numId w:val="13"/>
        </w:numPr>
        <w:spacing w:before="240" w:after="240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Cheating in assessments</w:t>
      </w:r>
    </w:p>
    <w:p w:rsidR="61E5C224" w:rsidP="191A0A4B" w:rsidRDefault="61E5C224" w14:paraId="1B47799A" w14:textId="13622822">
      <w:pPr>
        <w:pStyle w:val="ListParagraph"/>
        <w:numPr>
          <w:ilvl w:val="0"/>
          <w:numId w:val="13"/>
        </w:numPr>
        <w:spacing w:before="240" w:after="240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Fabrication or falsification of data or records</w:t>
      </w:r>
    </w:p>
    <w:p w:rsidR="61E5C224" w:rsidP="191A0A4B" w:rsidRDefault="61E5C224" w14:paraId="75AEC43F" w14:textId="390706BF">
      <w:pPr>
        <w:pStyle w:val="ListParagraph"/>
        <w:numPr>
          <w:ilvl w:val="0"/>
          <w:numId w:val="13"/>
        </w:numPr>
        <w:spacing w:before="240" w:after="240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Assessor or IQA bias</w:t>
      </w:r>
    </w:p>
    <w:p w:rsidR="61E5C224" w:rsidP="191A0A4B" w:rsidRDefault="61E5C224" w14:paraId="7A6A173D" w14:textId="37AE2FFF">
      <w:pPr>
        <w:pStyle w:val="ListParagraph"/>
        <w:numPr>
          <w:ilvl w:val="0"/>
          <w:numId w:val="13"/>
        </w:numPr>
        <w:spacing w:before="240" w:after="240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Collusion between assessors and learners</w:t>
      </w:r>
    </w:p>
    <w:p w:rsidR="61E5C224" w:rsidP="30155D4D" w:rsidRDefault="61E5C224" w14:paraId="128607CD" w14:textId="42C9E882">
      <w:pPr>
        <w:pStyle w:val="ListParagraph"/>
        <w:numPr>
          <w:ilvl w:val="0"/>
          <w:numId w:val="13"/>
        </w:numPr>
        <w:spacing w:before="240" w:after="240"/>
        <w:rPr>
          <w:rFonts w:ascii="Arial Nova" w:hAnsi="Arial Nova" w:eastAsia="Arial Nova" w:cs="Arial Nova"/>
        </w:rPr>
      </w:pPr>
      <w:r w:rsidRPr="30155D4D" w:rsidR="61E5C224">
        <w:rPr>
          <w:rFonts w:ascii="Arial Nova" w:hAnsi="Arial Nova" w:eastAsia="Arial Nova" w:cs="Arial Nova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Collusion between trainees to receive </w:t>
      </w:r>
      <w:r w:rsidRPr="30155D4D" w:rsidR="61E5C224">
        <w:rPr>
          <w:rFonts w:ascii="Arial Nova" w:hAnsi="Arial Nova" w:eastAsia="Arial Nova" w:cs="Arial Nova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assistance</w:t>
      </w:r>
      <w:r w:rsidRPr="30155D4D" w:rsidR="61E5C224">
        <w:rPr>
          <w:rFonts w:ascii="Arial Nova" w:hAnsi="Arial Nova" w:eastAsia="Arial Nova" w:cs="Arial Nova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 or gain an advantage by unfair means</w:t>
      </w:r>
    </w:p>
    <w:p w:rsidR="61E5C224" w:rsidP="30155D4D" w:rsidRDefault="61E5C224" w14:paraId="520C4ACF" w14:textId="3B445439">
      <w:pPr>
        <w:pStyle w:val="ListParagraph"/>
        <w:numPr>
          <w:ilvl w:val="0"/>
          <w:numId w:val="13"/>
        </w:numPr>
        <w:spacing w:before="240" w:after="240"/>
        <w:rPr>
          <w:rFonts w:ascii="Arial Nova" w:hAnsi="Arial Nova" w:eastAsia="Arial Nova" w:cs="Arial Nova"/>
        </w:rPr>
      </w:pPr>
      <w:r w:rsidRPr="30155D4D" w:rsidR="61E5C224">
        <w:rPr>
          <w:rFonts w:ascii="Arial Nova" w:hAnsi="Arial Nova" w:eastAsia="Arial Nova" w:cs="Arial Nova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Breaches of examination security</w:t>
      </w:r>
    </w:p>
    <w:p w:rsidR="61E5C224" w:rsidP="30155D4D" w:rsidRDefault="61E5C224" w14:paraId="012D20F0" w14:textId="161B589D">
      <w:pPr>
        <w:pStyle w:val="ListParagraph"/>
        <w:numPr>
          <w:ilvl w:val="0"/>
          <w:numId w:val="13"/>
        </w:numPr>
        <w:spacing w:before="240" w:after="240"/>
        <w:rPr>
          <w:rFonts w:ascii="Arial Nova" w:hAnsi="Arial Nova" w:eastAsia="Arial Nova" w:cs="Arial Nova"/>
        </w:rPr>
      </w:pPr>
      <w:r w:rsidRPr="30155D4D" w:rsidR="61E5C224">
        <w:rPr>
          <w:rFonts w:ascii="Arial Nova" w:hAnsi="Arial Nova" w:eastAsia="Arial Nova" w:cs="Arial Nova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Personation by producing work on behalf of another trainee or requesting another individual to produce work on the learner’s behalf to deceive the assessors</w:t>
      </w:r>
    </w:p>
    <w:p w:rsidR="191A0A4B" w:rsidP="191A0A4B" w:rsidRDefault="191A0A4B" w14:paraId="19ED052A" w14:textId="65544D0B">
      <w:pPr>
        <w:pStyle w:val="ListParagraph"/>
        <w:rPr>
          <w:rFonts w:ascii="Arial Nova" w:hAnsi="Arial Nova" w:eastAsia="Arial Nova" w:cs="Arial Nova"/>
        </w:rPr>
      </w:pPr>
    </w:p>
    <w:p w:rsidR="005B3F29" w:rsidP="191A0A4B" w:rsidRDefault="002920DD" w14:paraId="2388F137" w14:textId="2D0B7136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  <w:b/>
          <w:bCs/>
        </w:rPr>
        <w:t>Plagiarism</w:t>
      </w:r>
      <w:r w:rsidRPr="191A0A4B">
        <w:rPr>
          <w:rFonts w:ascii="Arial Nova" w:hAnsi="Arial Nova" w:eastAsia="Arial Nova" w:cs="Arial Nova"/>
        </w:rPr>
        <w:t xml:space="preserve"> is defined as:</w:t>
      </w:r>
    </w:p>
    <w:p w:rsidR="002920DD" w:rsidP="191A0A4B" w:rsidRDefault="002920DD" w14:paraId="533BDAFF" w14:textId="77777777">
      <w:pPr>
        <w:pStyle w:val="ListParagraph"/>
        <w:numPr>
          <w:ilvl w:val="0"/>
          <w:numId w:val="14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Presenting someone else’s work, ideas, or words as one’s own without proper attribution</w:t>
      </w:r>
    </w:p>
    <w:p w:rsidR="002920DD" w:rsidP="191A0A4B" w:rsidRDefault="002920DD" w14:paraId="34A1C4CA" w14:textId="77777777">
      <w:pPr>
        <w:pStyle w:val="ListParagraph"/>
        <w:numPr>
          <w:ilvl w:val="0"/>
          <w:numId w:val="14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Copying and pasting from online sources without citation</w:t>
      </w:r>
    </w:p>
    <w:p w:rsidR="005B3F29" w:rsidP="191A0A4B" w:rsidRDefault="002920DD" w14:paraId="0E786E63" w14:textId="3C69745C">
      <w:pPr>
        <w:pStyle w:val="ListParagraph"/>
        <w:numPr>
          <w:ilvl w:val="0"/>
          <w:numId w:val="14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Submitting work generated by AI tools without declaration (where not permitted)</w:t>
      </w:r>
    </w:p>
    <w:p w:rsidR="005B3F29" w:rsidP="191A0A4B" w:rsidRDefault="002920DD" w14:paraId="3D2F8FC7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4. Preventative Measures</w:t>
      </w:r>
    </w:p>
    <w:p w:rsidR="002920DD" w:rsidP="191A0A4B" w:rsidRDefault="002920DD" w14:paraId="7BA9AD51" w14:textId="77777777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 xml:space="preserve">All trainees are inducted </w:t>
      </w:r>
      <w:proofErr w:type="gramStart"/>
      <w:r w:rsidRPr="191A0A4B">
        <w:rPr>
          <w:rFonts w:ascii="Arial Nova" w:hAnsi="Arial Nova" w:eastAsia="Arial Nova" w:cs="Arial Nova"/>
        </w:rPr>
        <w:t>on</w:t>
      </w:r>
      <w:proofErr w:type="gramEnd"/>
      <w:r w:rsidRPr="191A0A4B">
        <w:rPr>
          <w:rFonts w:ascii="Arial Nova" w:hAnsi="Arial Nova" w:eastAsia="Arial Nova" w:cs="Arial Nova"/>
        </w:rPr>
        <w:t xml:space="preserve"> academic honesty and assessment protocols.</w:t>
      </w:r>
    </w:p>
    <w:p w:rsidR="002920DD" w:rsidP="191A0A4B" w:rsidRDefault="002920DD" w14:paraId="0777DBEA" w14:textId="77777777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Assessment activities are designed to reduce opportunities for malpractice.</w:t>
      </w:r>
    </w:p>
    <w:p w:rsidR="002920DD" w:rsidP="191A0A4B" w:rsidRDefault="002920DD" w14:paraId="47E02B0A" w14:textId="77777777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 xml:space="preserve">Staff receive regular training in </w:t>
      </w:r>
      <w:proofErr w:type="gramStart"/>
      <w:r w:rsidRPr="191A0A4B">
        <w:rPr>
          <w:rFonts w:ascii="Arial Nova" w:hAnsi="Arial Nova" w:eastAsia="Arial Nova" w:cs="Arial Nova"/>
        </w:rPr>
        <w:t>assessment</w:t>
      </w:r>
      <w:proofErr w:type="gramEnd"/>
      <w:r w:rsidRPr="191A0A4B">
        <w:rPr>
          <w:rFonts w:ascii="Arial Nova" w:hAnsi="Arial Nova" w:eastAsia="Arial Nova" w:cs="Arial Nova"/>
        </w:rPr>
        <w:t xml:space="preserve"> integrity and internal quality assurance.</w:t>
      </w:r>
    </w:p>
    <w:p w:rsidR="005B3F29" w:rsidP="191A0A4B" w:rsidRDefault="002920DD" w14:paraId="13F93765" w14:textId="6A57DDAD">
      <w:pPr>
        <w:pStyle w:val="ListParagraph"/>
        <w:numPr>
          <w:ilvl w:val="0"/>
          <w:numId w:val="15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Reasonable adjustments and access arrangements are available as needed.</w:t>
      </w:r>
    </w:p>
    <w:p w:rsidR="005B3F29" w:rsidP="191A0A4B" w:rsidRDefault="002920DD" w14:paraId="5ACEE638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5. Reporting Suspected Malpractice or Plagiarism</w:t>
      </w:r>
    </w:p>
    <w:p w:rsidR="005B3F29" w:rsidP="191A0A4B" w:rsidRDefault="002920DD" w14:paraId="4E62EBF4" w14:textId="77777777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All concerns must be reported promptly to the Director of Compliance or via:</w:t>
      </w:r>
    </w:p>
    <w:p w:rsidR="002920DD" w:rsidP="191A0A4B" w:rsidRDefault="002920DD" w14:paraId="31721CA5" w14:textId="55C323AA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</w:rPr>
      </w:pPr>
      <w:r w:rsidRPr="30155D4D" w:rsidR="002920DD">
        <w:rPr>
          <w:rFonts w:ascii="Arial Nova" w:hAnsi="Arial Nova" w:eastAsia="Arial Nova" w:cs="Arial Nova"/>
        </w:rPr>
        <w:t xml:space="preserve">Line manager or </w:t>
      </w:r>
      <w:r w:rsidRPr="30155D4D" w:rsidR="1BFB57CA">
        <w:rPr>
          <w:rFonts w:ascii="Arial Nova" w:hAnsi="Arial Nova" w:eastAsia="Arial Nova" w:cs="Arial Nova"/>
        </w:rPr>
        <w:t>Managing Director</w:t>
      </w:r>
    </w:p>
    <w:p w:rsidR="002920DD" w:rsidP="191A0A4B" w:rsidRDefault="002920DD" w14:paraId="0CFEC780" w14:textId="2D21B9C9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</w:rPr>
      </w:pPr>
      <w:hyperlink r:id="rId11">
        <w:r w:rsidRPr="191A0A4B">
          <w:rPr>
            <w:rStyle w:val="Hyperlink"/>
            <w:rFonts w:ascii="Arial Nova" w:hAnsi="Arial Nova" w:eastAsia="Arial Nova" w:cs="Arial Nova"/>
          </w:rPr>
          <w:t>Teachingandlearning@grad2teach.ac.uk</w:t>
        </w:r>
      </w:hyperlink>
    </w:p>
    <w:p w:rsidR="005B3F29" w:rsidP="191A0A4B" w:rsidRDefault="002920DD" w14:paraId="02C1C67F" w14:textId="3111A54A">
      <w:pPr>
        <w:pStyle w:val="ListParagraph"/>
        <w:numPr>
          <w:ilvl w:val="0"/>
          <w:numId w:val="16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Whistleblowing Hotline (for anonymous reports)</w:t>
      </w:r>
    </w:p>
    <w:p w:rsidR="005B3F29" w:rsidP="191A0A4B" w:rsidRDefault="005B3F29" w14:paraId="5EE89E86" w14:textId="77777777">
      <w:pPr>
        <w:rPr>
          <w:rFonts w:ascii="Arial Nova" w:hAnsi="Arial Nova" w:eastAsia="Arial Nova" w:cs="Arial Nova"/>
        </w:rPr>
      </w:pPr>
    </w:p>
    <w:p w:rsidR="005B3F29" w:rsidP="191A0A4B" w:rsidRDefault="002920DD" w14:paraId="1D1650DA" w14:textId="52C8D2B4">
      <w:pPr>
        <w:rPr>
          <w:rFonts w:ascii="Arial Nova" w:hAnsi="Arial Nova" w:eastAsia="Arial Nova" w:cs="Arial Nova"/>
        </w:rPr>
      </w:pPr>
      <w:r w:rsidRPr="30155D4D" w:rsidR="002920DD">
        <w:rPr>
          <w:rFonts w:ascii="Arial Nova" w:hAnsi="Arial Nova" w:eastAsia="Arial Nova" w:cs="Arial Nova"/>
        </w:rPr>
        <w:t xml:space="preserve">Reports must include factual evidence and be </w:t>
      </w:r>
      <w:r w:rsidRPr="30155D4D" w:rsidR="002920DD">
        <w:rPr>
          <w:rFonts w:ascii="Arial Nova" w:hAnsi="Arial Nova" w:eastAsia="Arial Nova" w:cs="Arial Nova"/>
        </w:rPr>
        <w:t>submitted</w:t>
      </w:r>
      <w:r w:rsidRPr="30155D4D" w:rsidR="002920DD">
        <w:rPr>
          <w:rFonts w:ascii="Arial Nova" w:hAnsi="Arial Nova" w:eastAsia="Arial Nova" w:cs="Arial Nova"/>
        </w:rPr>
        <w:t xml:space="preserve"> in good faith.</w:t>
      </w:r>
      <w:r w:rsidRPr="30155D4D" w:rsidR="35723B73">
        <w:rPr>
          <w:rFonts w:ascii="Arial Nova" w:hAnsi="Arial Nova" w:eastAsia="Arial Nova" w:cs="Arial Nova"/>
        </w:rPr>
        <w:t xml:space="preserve"> Malicious or extortive reports, if </w:t>
      </w:r>
      <w:r w:rsidRPr="30155D4D" w:rsidR="35723B73">
        <w:rPr>
          <w:rFonts w:ascii="Arial Nova" w:hAnsi="Arial Nova" w:eastAsia="Arial Nova" w:cs="Arial Nova"/>
        </w:rPr>
        <w:t>identified</w:t>
      </w:r>
      <w:r w:rsidRPr="30155D4D" w:rsidR="35723B73">
        <w:rPr>
          <w:rFonts w:ascii="Arial Nova" w:hAnsi="Arial Nova" w:eastAsia="Arial Nova" w:cs="Arial Nova"/>
        </w:rPr>
        <w:t xml:space="preserve"> through </w:t>
      </w:r>
      <w:r w:rsidRPr="30155D4D" w:rsidR="35723B73">
        <w:rPr>
          <w:rFonts w:ascii="Arial Nova" w:hAnsi="Arial Nova" w:eastAsia="Arial Nova" w:cs="Arial Nova"/>
        </w:rPr>
        <w:t>close scrutiny</w:t>
      </w:r>
      <w:r w:rsidRPr="30155D4D" w:rsidR="35723B73">
        <w:rPr>
          <w:rFonts w:ascii="Arial Nova" w:hAnsi="Arial Nova" w:eastAsia="Arial Nova" w:cs="Arial Nova"/>
        </w:rPr>
        <w:t xml:space="preserve"> and checking by more than one senior staff member, </w:t>
      </w:r>
      <w:r w:rsidRPr="30155D4D" w:rsidR="50FE9AE8">
        <w:rPr>
          <w:rFonts w:ascii="Arial Nova" w:hAnsi="Arial Nova" w:eastAsia="Arial Nova" w:cs="Arial Nova"/>
        </w:rPr>
        <w:t>will be considered malpractice and treated as such.</w:t>
      </w:r>
    </w:p>
    <w:p w:rsidR="005B3F29" w:rsidP="191A0A4B" w:rsidRDefault="002920DD" w14:paraId="7C288153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6. Investigation Process</w:t>
      </w:r>
    </w:p>
    <w:p w:rsidR="005B3F29" w:rsidP="191A0A4B" w:rsidRDefault="002920DD" w14:paraId="38F64DF4" w14:textId="34B4A42D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 xml:space="preserve">1. </w:t>
      </w:r>
      <w:r w:rsidRPr="191A0A4B">
        <w:rPr>
          <w:rFonts w:ascii="Arial Nova" w:hAnsi="Arial Nova" w:eastAsia="Arial Nova" w:cs="Arial Nova"/>
          <w:b/>
          <w:bCs/>
        </w:rPr>
        <w:t>Initial Screening</w:t>
      </w:r>
      <w:r w:rsidRPr="191A0A4B">
        <w:rPr>
          <w:rFonts w:ascii="Arial Nova" w:hAnsi="Arial Nova" w:eastAsia="Arial Nova" w:cs="Arial Nova"/>
        </w:rPr>
        <w:t>: A senior staff member not previously involved will determine if an investigation is warranted.</w:t>
      </w:r>
    </w:p>
    <w:p w:rsidR="005B3F29" w:rsidP="191A0A4B" w:rsidRDefault="002920DD" w14:paraId="5C196CC5" w14:textId="023D777E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 xml:space="preserve">2. </w:t>
      </w:r>
      <w:r w:rsidRPr="191A0A4B">
        <w:rPr>
          <w:rFonts w:ascii="Arial Nova" w:hAnsi="Arial Nova" w:eastAsia="Arial Nova" w:cs="Arial Nova"/>
          <w:b/>
          <w:bCs/>
        </w:rPr>
        <w:t>Investigation:</w:t>
      </w:r>
      <w:r w:rsidRPr="191A0A4B">
        <w:rPr>
          <w:rFonts w:ascii="Arial Nova" w:hAnsi="Arial Nova" w:eastAsia="Arial Nova" w:cs="Arial Nova"/>
        </w:rPr>
        <w:t xml:space="preserve"> All parties involved will be interviewed and documentary evidence reviewed.</w:t>
      </w:r>
    </w:p>
    <w:p w:rsidR="005B3F29" w:rsidP="191A0A4B" w:rsidRDefault="002920DD" w14:paraId="566EA751" w14:textId="72A9B7CA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lastRenderedPageBreak/>
        <w:t xml:space="preserve">3. </w:t>
      </w:r>
      <w:r w:rsidRPr="191A0A4B">
        <w:rPr>
          <w:rFonts w:ascii="Arial Nova" w:hAnsi="Arial Nova" w:eastAsia="Arial Nova" w:cs="Arial Nova"/>
          <w:b/>
          <w:bCs/>
        </w:rPr>
        <w:t>Outcome</w:t>
      </w:r>
      <w:r w:rsidRPr="191A0A4B">
        <w:rPr>
          <w:rFonts w:ascii="Arial Nova" w:hAnsi="Arial Nova" w:eastAsia="Arial Nova" w:cs="Arial Nova"/>
        </w:rPr>
        <w:t>: A decision will be made, communicated in writing, and the relevant action taken.</w:t>
      </w:r>
    </w:p>
    <w:p w:rsidR="005B3F29" w:rsidP="191A0A4B" w:rsidRDefault="002920DD" w14:paraId="6E15C1E3" w14:textId="647FD5FE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 xml:space="preserve">4. </w:t>
      </w:r>
      <w:r w:rsidRPr="191A0A4B">
        <w:rPr>
          <w:rFonts w:ascii="Arial Nova" w:hAnsi="Arial Nova" w:eastAsia="Arial Nova" w:cs="Arial Nova"/>
          <w:b/>
          <w:bCs/>
        </w:rPr>
        <w:t>Appeals:</w:t>
      </w:r>
      <w:r w:rsidRPr="191A0A4B">
        <w:rPr>
          <w:rFonts w:ascii="Arial Nova" w:hAnsi="Arial Nova" w:eastAsia="Arial Nova" w:cs="Arial Nova"/>
        </w:rPr>
        <w:t xml:space="preserve"> Learners or staff may appeal the outcome via the Appeals Policy.</w:t>
      </w:r>
    </w:p>
    <w:p w:rsidR="005B3F29" w:rsidP="191A0A4B" w:rsidRDefault="005B3F29" w14:paraId="53BC1E25" w14:textId="77777777">
      <w:pPr>
        <w:rPr>
          <w:rFonts w:ascii="Arial Nova" w:hAnsi="Arial Nova" w:eastAsia="Arial Nova" w:cs="Arial Nova"/>
        </w:rPr>
      </w:pPr>
    </w:p>
    <w:p w:rsidR="005B3F29" w:rsidP="191A0A4B" w:rsidRDefault="002920DD" w14:paraId="72DD54DE" w14:textId="77777777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All investigations will follow principles of natural justice and confidentiality.</w:t>
      </w:r>
    </w:p>
    <w:p w:rsidR="005B3F29" w:rsidP="191A0A4B" w:rsidRDefault="002920DD" w14:paraId="300DCA47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7. Sanctions and Outcomes</w:t>
      </w:r>
    </w:p>
    <w:p w:rsidR="505A908B" w:rsidP="30155D4D" w:rsidRDefault="505A908B" w14:paraId="29D264D5" w14:textId="7E0250A9">
      <w:pPr>
        <w:rPr>
          <w:rFonts w:ascii="Arial Nova" w:hAnsi="Arial Nova" w:eastAsia="Arial Nova" w:cs="Arial Nova"/>
          <w:i w:val="0"/>
          <w:iCs w:val="0"/>
        </w:rPr>
      </w:pPr>
      <w:r w:rsidRPr="30155D4D" w:rsidR="505A908B">
        <w:rPr>
          <w:rFonts w:ascii="Arial Nova" w:hAnsi="Arial Nova" w:eastAsia="Arial Nova" w:cs="Arial Nova"/>
          <w:i w:val="0"/>
          <w:iCs w:val="0"/>
        </w:rPr>
        <w:t>Depending on the severity of the malpractice, outcomes may include:</w:t>
      </w:r>
    </w:p>
    <w:p w:rsidR="505A908B" w:rsidP="191A0A4B" w:rsidRDefault="505A908B" w14:paraId="2C60049D" w14:textId="6FE6754F">
      <w:pPr>
        <w:pStyle w:val="ListParagraph"/>
        <w:numPr>
          <w:ilvl w:val="0"/>
          <w:numId w:val="17"/>
        </w:numPr>
        <w:spacing w:before="240" w:after="240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Retraining or re-assessment</w:t>
      </w:r>
    </w:p>
    <w:p w:rsidR="505A908B" w:rsidP="30155D4D" w:rsidRDefault="505A908B" w14:paraId="0D50E12F" w14:textId="55837FC6">
      <w:pPr>
        <w:pStyle w:val="ListParagraph"/>
        <w:numPr>
          <w:ilvl w:val="0"/>
          <w:numId w:val="17"/>
        </w:numPr>
        <w:spacing w:before="240" w:after="240"/>
        <w:rPr>
          <w:rFonts w:ascii="Arial Nova" w:hAnsi="Arial Nova" w:eastAsia="Arial Nova" w:cs="Arial Nova"/>
        </w:rPr>
      </w:pPr>
      <w:r w:rsidRPr="30155D4D" w:rsidR="505A908B">
        <w:rPr>
          <w:rFonts w:ascii="Arial Nova" w:hAnsi="Arial Nova" w:eastAsia="Arial Nova" w:cs="Arial Nova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Formal warnings</w:t>
      </w:r>
    </w:p>
    <w:p w:rsidR="505A908B" w:rsidP="30155D4D" w:rsidRDefault="505A908B" w14:paraId="362FA6AE" w14:textId="40274491">
      <w:pPr>
        <w:pStyle w:val="ListParagraph"/>
        <w:numPr>
          <w:ilvl w:val="0"/>
          <w:numId w:val="17"/>
        </w:numPr>
        <w:spacing w:before="240" w:after="240"/>
        <w:rPr>
          <w:rFonts w:ascii="Arial Nova" w:hAnsi="Arial Nova" w:eastAsia="Arial Nova" w:cs="Arial Nova"/>
        </w:rPr>
      </w:pPr>
      <w:r w:rsidRPr="30155D4D" w:rsidR="505A908B">
        <w:rPr>
          <w:rFonts w:ascii="Arial Nova" w:hAnsi="Arial Nova" w:eastAsia="Arial Nova" w:cs="Arial Nova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 xml:space="preserve">Removal from the qualification or training </w:t>
      </w:r>
      <w:r w:rsidRPr="30155D4D" w:rsidR="505A908B">
        <w:rPr>
          <w:rFonts w:ascii="Arial Nova" w:hAnsi="Arial Nova" w:eastAsia="Arial Nova" w:cs="Arial Nova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programme</w:t>
      </w:r>
    </w:p>
    <w:p w:rsidR="505A908B" w:rsidP="30155D4D" w:rsidRDefault="505A908B" w14:paraId="23EF1929" w14:textId="59CB141D">
      <w:pPr>
        <w:pStyle w:val="ListParagraph"/>
        <w:numPr>
          <w:ilvl w:val="0"/>
          <w:numId w:val="17"/>
        </w:numPr>
        <w:spacing w:before="240" w:after="240"/>
        <w:rPr>
          <w:rFonts w:ascii="Arial Nova" w:hAnsi="Arial Nova" w:eastAsia="Arial Nova" w:cs="Arial Nova"/>
        </w:rPr>
      </w:pPr>
      <w:r w:rsidRPr="30155D4D" w:rsidR="505A908B">
        <w:rPr>
          <w:rFonts w:ascii="Arial Nova" w:hAnsi="Arial Nova" w:eastAsia="Arial Nova" w:cs="Arial Nova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Notification to NCFE and/or the partner university (if applicable)</w:t>
      </w:r>
    </w:p>
    <w:p w:rsidR="191A0A4B" w:rsidP="191A0A4B" w:rsidRDefault="191A0A4B" w14:paraId="61F1DF39" w14:textId="69214706">
      <w:pPr>
        <w:pStyle w:val="ListParagraph"/>
        <w:rPr>
          <w:rFonts w:ascii="Arial Nova" w:hAnsi="Arial Nova" w:eastAsia="Arial Nova" w:cs="Arial Nova"/>
        </w:rPr>
      </w:pPr>
    </w:p>
    <w:p w:rsidR="005B3F29" w:rsidP="191A0A4B" w:rsidRDefault="002920DD" w14:paraId="54F58E48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8. Record Keeping and Compliance</w:t>
      </w:r>
    </w:p>
    <w:p w:rsidR="002920DD" w:rsidP="191A0A4B" w:rsidRDefault="002920DD" w14:paraId="5D01B0F2" w14:textId="77777777">
      <w:pPr>
        <w:pStyle w:val="ListParagraph"/>
        <w:numPr>
          <w:ilvl w:val="0"/>
          <w:numId w:val="18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All records will be maintained securely for a minimum of 3 years.</w:t>
      </w:r>
    </w:p>
    <w:p w:rsidR="005B3F29" w:rsidP="191A0A4B" w:rsidRDefault="002920DD" w14:paraId="66FC6D87" w14:textId="266A7470">
      <w:pPr>
        <w:pStyle w:val="ListParagraph"/>
        <w:numPr>
          <w:ilvl w:val="0"/>
          <w:numId w:val="18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 xml:space="preserve">A </w:t>
      </w:r>
      <w:proofErr w:type="gramStart"/>
      <w:r w:rsidRPr="191A0A4B">
        <w:rPr>
          <w:rFonts w:ascii="Arial Nova" w:hAnsi="Arial Nova" w:eastAsia="Arial Nova" w:cs="Arial Nova"/>
        </w:rPr>
        <w:t>log</w:t>
      </w:r>
      <w:proofErr w:type="gramEnd"/>
      <w:r w:rsidRPr="191A0A4B">
        <w:rPr>
          <w:rFonts w:ascii="Arial Nova" w:hAnsi="Arial Nova" w:eastAsia="Arial Nova" w:cs="Arial Nova"/>
        </w:rPr>
        <w:t xml:space="preserve"> of all cases will be reviewed annually to identify patterns or improvements needed.</w:t>
      </w:r>
    </w:p>
    <w:p w:rsidR="005B3F29" w:rsidP="191A0A4B" w:rsidRDefault="002920DD" w14:paraId="7D02CFBF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9. Monitoring and Review</w:t>
      </w:r>
    </w:p>
    <w:p w:rsidR="002920DD" w:rsidP="191A0A4B" w:rsidRDefault="002920DD" w14:paraId="5B748159" w14:textId="77777777">
      <w:pPr>
        <w:pStyle w:val="ListParagraph"/>
        <w:numPr>
          <w:ilvl w:val="0"/>
          <w:numId w:val="19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This policy will be reviewed annually or following a major incident.</w:t>
      </w:r>
    </w:p>
    <w:p w:rsidR="005B3F29" w:rsidP="191A0A4B" w:rsidRDefault="002920DD" w14:paraId="513FE40C" w14:textId="50CE2860">
      <w:pPr>
        <w:pStyle w:val="ListParagraph"/>
        <w:numPr>
          <w:ilvl w:val="0"/>
          <w:numId w:val="19"/>
        </w:numPr>
        <w:rPr>
          <w:rFonts w:ascii="Arial Nova" w:hAnsi="Arial Nova" w:eastAsia="Arial Nova" w:cs="Arial Nova"/>
        </w:rPr>
      </w:pPr>
      <w:r w:rsidRPr="30155D4D" w:rsidR="002920DD">
        <w:rPr>
          <w:rFonts w:ascii="Arial Nova" w:hAnsi="Arial Nova" w:eastAsia="Arial Nova" w:cs="Arial Nova"/>
        </w:rPr>
        <w:t xml:space="preserve">The </w:t>
      </w:r>
      <w:r w:rsidRPr="30155D4D" w:rsidR="3E3731D4">
        <w:rPr>
          <w:rFonts w:ascii="Arial Nova" w:hAnsi="Arial Nova" w:eastAsia="Arial Nova" w:cs="Arial Nova"/>
        </w:rPr>
        <w:t xml:space="preserve">Managing </w:t>
      </w:r>
      <w:r w:rsidRPr="30155D4D" w:rsidR="002920DD">
        <w:rPr>
          <w:rFonts w:ascii="Arial Nova" w:hAnsi="Arial Nova" w:eastAsia="Arial Nova" w:cs="Arial Nova"/>
        </w:rPr>
        <w:t xml:space="preserve">Director </w:t>
      </w:r>
      <w:r w:rsidRPr="30155D4D" w:rsidR="2EB7B88D">
        <w:rPr>
          <w:rFonts w:ascii="Arial Nova" w:hAnsi="Arial Nova" w:eastAsia="Arial Nova" w:cs="Arial Nova"/>
        </w:rPr>
        <w:t xml:space="preserve">[Compliance </w:t>
      </w:r>
      <w:r w:rsidRPr="30155D4D" w:rsidR="2EB7B88D">
        <w:rPr>
          <w:rFonts w:ascii="Arial Nova" w:hAnsi="Arial Nova" w:eastAsia="Arial Nova" w:cs="Arial Nova"/>
        </w:rPr>
        <w:t xml:space="preserve">Lead] </w:t>
      </w:r>
      <w:r w:rsidRPr="30155D4D" w:rsidR="002920DD">
        <w:rPr>
          <w:rFonts w:ascii="Arial Nova" w:hAnsi="Arial Nova" w:eastAsia="Arial Nova" w:cs="Arial Nova"/>
        </w:rPr>
        <w:t xml:space="preserve"> is</w:t>
      </w:r>
      <w:r w:rsidRPr="30155D4D" w:rsidR="002920DD">
        <w:rPr>
          <w:rFonts w:ascii="Arial Nova" w:hAnsi="Arial Nova" w:eastAsia="Arial Nova" w:cs="Arial Nova"/>
        </w:rPr>
        <w:t xml:space="preserve"> responsible for ensuring implementation and continuous improvement.</w:t>
      </w:r>
    </w:p>
    <w:p w:rsidR="005B3F29" w:rsidP="191A0A4B" w:rsidRDefault="002920DD" w14:paraId="1B1C8C7C" w14:textId="77777777">
      <w:pPr>
        <w:pStyle w:val="Heading2"/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10. Related Policies</w:t>
      </w:r>
    </w:p>
    <w:p w:rsidR="002920DD" w:rsidP="191A0A4B" w:rsidRDefault="002920DD" w14:paraId="1EAF502E" w14:textId="77777777">
      <w:pPr>
        <w:pStyle w:val="ListParagraph"/>
        <w:numPr>
          <w:ilvl w:val="0"/>
          <w:numId w:val="20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Appeals Policy</w:t>
      </w:r>
    </w:p>
    <w:p w:rsidR="002920DD" w:rsidP="191A0A4B" w:rsidRDefault="002920DD" w14:paraId="3D999B71" w14:textId="77777777">
      <w:pPr>
        <w:pStyle w:val="ListParagraph"/>
        <w:numPr>
          <w:ilvl w:val="0"/>
          <w:numId w:val="20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Complaints Policy</w:t>
      </w:r>
    </w:p>
    <w:p w:rsidR="002920DD" w:rsidP="191A0A4B" w:rsidRDefault="002920DD" w14:paraId="185D2DF6" w14:textId="77777777">
      <w:pPr>
        <w:pStyle w:val="ListParagraph"/>
        <w:numPr>
          <w:ilvl w:val="0"/>
          <w:numId w:val="20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Whistleblowing Policy</w:t>
      </w:r>
    </w:p>
    <w:p w:rsidR="002920DD" w:rsidP="191A0A4B" w:rsidRDefault="002920DD" w14:paraId="51E642AF" w14:textId="77777777">
      <w:pPr>
        <w:pStyle w:val="ListParagraph"/>
        <w:numPr>
          <w:ilvl w:val="0"/>
          <w:numId w:val="20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Equality, Diversity &amp; Inclusion Policy</w:t>
      </w:r>
    </w:p>
    <w:p w:rsidR="002920DD" w:rsidP="191A0A4B" w:rsidRDefault="002920DD" w14:paraId="04929220" w14:textId="77777777">
      <w:pPr>
        <w:pStyle w:val="ListParagraph"/>
        <w:numPr>
          <w:ilvl w:val="0"/>
          <w:numId w:val="20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Recruitment, Selection and Vetting Policy</w:t>
      </w:r>
    </w:p>
    <w:p w:rsidR="005B3F29" w:rsidP="191A0A4B" w:rsidRDefault="002920DD" w14:paraId="652A8CE9" w14:textId="5E0F1B2E">
      <w:pPr>
        <w:pStyle w:val="ListParagraph"/>
        <w:numPr>
          <w:ilvl w:val="0"/>
          <w:numId w:val="20"/>
        </w:num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Conflicts of Interest Policy</w:t>
      </w:r>
    </w:p>
    <w:p w:rsidR="005B3F29" w:rsidP="191A0A4B" w:rsidRDefault="002920DD" w14:paraId="2C6CC1D4" w14:textId="77777777">
      <w:pPr>
        <w:rPr>
          <w:rFonts w:ascii="Arial Nova" w:hAnsi="Arial Nova" w:eastAsia="Arial Nova" w:cs="Arial Nova"/>
        </w:rPr>
      </w:pPr>
      <w:r w:rsidRPr="191A0A4B">
        <w:rPr>
          <w:rFonts w:ascii="Arial Nova" w:hAnsi="Arial Nova" w:eastAsia="Arial Nova" w:cs="Arial Nova"/>
        </w:rPr>
        <w:t>For questions or reports relating to this policy, contact:</w:t>
      </w:r>
    </w:p>
    <w:p w:rsidR="005B3F29" w:rsidP="191A0A4B" w:rsidRDefault="002920DD" w14:paraId="6354AD2B" w14:textId="5B49D0A3">
      <w:pPr>
        <w:rPr>
          <w:rFonts w:ascii="Arial Nova" w:hAnsi="Arial Nova" w:eastAsia="Arial Nova" w:cs="Arial Nova"/>
        </w:rPr>
      </w:pPr>
      <w:hyperlink r:id="Rf4360e19f61c4416">
        <w:r w:rsidRPr="30155D4D" w:rsidR="002920DD">
          <w:rPr>
            <w:rStyle w:val="Hyperlink"/>
            <w:rFonts w:ascii="Arial Nova" w:hAnsi="Arial Nova" w:eastAsia="Arial Nova" w:cs="Arial Nova"/>
          </w:rPr>
          <w:t>teachingandlearning@grad2teach.ac.uk</w:t>
        </w:r>
      </w:hyperlink>
    </w:p>
    <w:sectPr w:rsidR="005B3F29" w:rsidSect="00034616">
      <w:headerReference w:type="default" r:id="rId12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EB5" w:rsidP="002920DD" w:rsidRDefault="002B6EB5" w14:paraId="6E707F07" w14:textId="77777777">
      <w:pPr>
        <w:spacing w:after="0" w:line="240" w:lineRule="auto"/>
      </w:pPr>
      <w:r>
        <w:separator/>
      </w:r>
    </w:p>
  </w:endnote>
  <w:endnote w:type="continuationSeparator" w:id="0">
    <w:p w:rsidR="002B6EB5" w:rsidP="002920DD" w:rsidRDefault="002B6EB5" w14:paraId="0A1424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EB5" w:rsidP="002920DD" w:rsidRDefault="002B6EB5" w14:paraId="6BE05EE0" w14:textId="77777777">
      <w:pPr>
        <w:spacing w:after="0" w:line="240" w:lineRule="auto"/>
      </w:pPr>
      <w:r>
        <w:separator/>
      </w:r>
    </w:p>
  </w:footnote>
  <w:footnote w:type="continuationSeparator" w:id="0">
    <w:p w:rsidR="002B6EB5" w:rsidP="002920DD" w:rsidRDefault="002B6EB5" w14:paraId="5F5738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920DD" w:rsidRDefault="002920DD" w14:paraId="4BD4D276" w14:textId="3B09DB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393760" wp14:editId="577FA77B">
          <wp:simplePos x="0" y="0"/>
          <wp:positionH relativeFrom="page">
            <wp:posOffset>19050</wp:posOffset>
          </wp:positionH>
          <wp:positionV relativeFrom="paragraph">
            <wp:posOffset>-457200</wp:posOffset>
          </wp:positionV>
          <wp:extent cx="7750810" cy="1842135"/>
          <wp:effectExtent l="0" t="0" r="2540" b="5715"/>
          <wp:wrapTight wrapText="bothSides">
            <wp:wrapPolygon edited="0">
              <wp:start x="0" y="0"/>
              <wp:lineTo x="0" y="21444"/>
              <wp:lineTo x="21554" y="21444"/>
              <wp:lineTo x="21554" y="0"/>
              <wp:lineTo x="0" y="0"/>
            </wp:wrapPolygon>
          </wp:wrapTight>
          <wp:docPr id="1446378210" name="Picture 2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378210" name="Picture 2" descr="A red and white sign with white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810" cy="184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97F2DC6"/>
    <w:multiLevelType w:val="hybridMultilevel"/>
    <w:tmpl w:val="75A01A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03D9C"/>
    <w:multiLevelType w:val="hybridMultilevel"/>
    <w:tmpl w:val="88EC39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91145C"/>
    <w:multiLevelType w:val="hybridMultilevel"/>
    <w:tmpl w:val="8962DA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A7C2EB0"/>
    <w:multiLevelType w:val="hybridMultilevel"/>
    <w:tmpl w:val="B2A61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00793B"/>
    <w:multiLevelType w:val="hybridMultilevel"/>
    <w:tmpl w:val="25C8DC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5721A96"/>
    <w:multiLevelType w:val="hybridMultilevel"/>
    <w:tmpl w:val="56F0A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93401C"/>
    <w:multiLevelType w:val="hybridMultilevel"/>
    <w:tmpl w:val="437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F60E60"/>
    <w:multiLevelType w:val="hybridMultilevel"/>
    <w:tmpl w:val="4358E0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15C2288"/>
    <w:multiLevelType w:val="hybridMultilevel"/>
    <w:tmpl w:val="E236EF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F70627"/>
    <w:multiLevelType w:val="hybridMultilevel"/>
    <w:tmpl w:val="49CC67DE"/>
    <w:lvl w:ilvl="0" w:tplc="3C2A8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1810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407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CCB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9C3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0248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4E3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362D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7691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528CEA"/>
    <w:multiLevelType w:val="hybridMultilevel"/>
    <w:tmpl w:val="E644680A"/>
    <w:lvl w:ilvl="0" w:tplc="DA360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C47C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CAAD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304B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66AB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402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126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181F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5E81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9042987">
    <w:abstractNumId w:val="18"/>
  </w:num>
  <w:num w:numId="2" w16cid:durableId="508981307">
    <w:abstractNumId w:val="19"/>
  </w:num>
  <w:num w:numId="3" w16cid:durableId="291373097">
    <w:abstractNumId w:val="8"/>
  </w:num>
  <w:num w:numId="4" w16cid:durableId="1605070442">
    <w:abstractNumId w:val="6"/>
  </w:num>
  <w:num w:numId="5" w16cid:durableId="1441485106">
    <w:abstractNumId w:val="5"/>
  </w:num>
  <w:num w:numId="6" w16cid:durableId="417752101">
    <w:abstractNumId w:val="4"/>
  </w:num>
  <w:num w:numId="7" w16cid:durableId="1910848230">
    <w:abstractNumId w:val="7"/>
  </w:num>
  <w:num w:numId="8" w16cid:durableId="1046029813">
    <w:abstractNumId w:val="3"/>
  </w:num>
  <w:num w:numId="9" w16cid:durableId="531962964">
    <w:abstractNumId w:val="2"/>
  </w:num>
  <w:num w:numId="10" w16cid:durableId="994920162">
    <w:abstractNumId w:val="1"/>
  </w:num>
  <w:num w:numId="11" w16cid:durableId="370106738">
    <w:abstractNumId w:val="0"/>
  </w:num>
  <w:num w:numId="12" w16cid:durableId="1156452945">
    <w:abstractNumId w:val="14"/>
  </w:num>
  <w:num w:numId="13" w16cid:durableId="532697402">
    <w:abstractNumId w:val="13"/>
  </w:num>
  <w:num w:numId="14" w16cid:durableId="1736854839">
    <w:abstractNumId w:val="16"/>
  </w:num>
  <w:num w:numId="15" w16cid:durableId="1339195274">
    <w:abstractNumId w:val="9"/>
  </w:num>
  <w:num w:numId="16" w16cid:durableId="609314163">
    <w:abstractNumId w:val="11"/>
  </w:num>
  <w:num w:numId="17" w16cid:durableId="2093818844">
    <w:abstractNumId w:val="17"/>
  </w:num>
  <w:num w:numId="18" w16cid:durableId="1341078883">
    <w:abstractNumId w:val="12"/>
  </w:num>
  <w:num w:numId="19" w16cid:durableId="1053041360">
    <w:abstractNumId w:val="10"/>
  </w:num>
  <w:num w:numId="20" w16cid:durableId="4778442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B6D"/>
    <w:rsid w:val="0015074B"/>
    <w:rsid w:val="002920DD"/>
    <w:rsid w:val="0029639D"/>
    <w:rsid w:val="002B6EB5"/>
    <w:rsid w:val="00326F90"/>
    <w:rsid w:val="0036678A"/>
    <w:rsid w:val="005B3F29"/>
    <w:rsid w:val="005B4C30"/>
    <w:rsid w:val="00AA1D8D"/>
    <w:rsid w:val="00B47730"/>
    <w:rsid w:val="00C6723D"/>
    <w:rsid w:val="00CB0664"/>
    <w:rsid w:val="00FC693F"/>
    <w:rsid w:val="08060C11"/>
    <w:rsid w:val="087352D3"/>
    <w:rsid w:val="0996B7EB"/>
    <w:rsid w:val="0B23175B"/>
    <w:rsid w:val="0B3DC5DD"/>
    <w:rsid w:val="0F6C3E37"/>
    <w:rsid w:val="134D936E"/>
    <w:rsid w:val="157CFF05"/>
    <w:rsid w:val="191A0A4B"/>
    <w:rsid w:val="1BFB57CA"/>
    <w:rsid w:val="23B288EB"/>
    <w:rsid w:val="258FE70A"/>
    <w:rsid w:val="263AAEEB"/>
    <w:rsid w:val="266788F6"/>
    <w:rsid w:val="27326160"/>
    <w:rsid w:val="2EB7B88D"/>
    <w:rsid w:val="2F92F2FA"/>
    <w:rsid w:val="300A3E6D"/>
    <w:rsid w:val="30155D4D"/>
    <w:rsid w:val="3159C579"/>
    <w:rsid w:val="3548CBAA"/>
    <w:rsid w:val="35723B73"/>
    <w:rsid w:val="36D436E4"/>
    <w:rsid w:val="384A5BEC"/>
    <w:rsid w:val="3E3731D4"/>
    <w:rsid w:val="3F0CE192"/>
    <w:rsid w:val="409A2509"/>
    <w:rsid w:val="42D057C4"/>
    <w:rsid w:val="435EBD6A"/>
    <w:rsid w:val="4714F765"/>
    <w:rsid w:val="486434FD"/>
    <w:rsid w:val="4A9C3DE0"/>
    <w:rsid w:val="4B452636"/>
    <w:rsid w:val="4E7E7DAB"/>
    <w:rsid w:val="4EAC8BAA"/>
    <w:rsid w:val="505A908B"/>
    <w:rsid w:val="50FE9AE8"/>
    <w:rsid w:val="51893AE2"/>
    <w:rsid w:val="53FAF8D0"/>
    <w:rsid w:val="5954E60C"/>
    <w:rsid w:val="60634055"/>
    <w:rsid w:val="609A2DB1"/>
    <w:rsid w:val="61E5C224"/>
    <w:rsid w:val="63447740"/>
    <w:rsid w:val="64616E8E"/>
    <w:rsid w:val="68898E0A"/>
    <w:rsid w:val="69DE21A3"/>
    <w:rsid w:val="70BA45FC"/>
    <w:rsid w:val="72D74E0D"/>
    <w:rsid w:val="75958E5B"/>
    <w:rsid w:val="7EBB8073"/>
    <w:rsid w:val="7FC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1E52B"/>
  <w14:defaultImageDpi w14:val="300"/>
  <w15:docId w15:val="{2B51CCE3-C39C-4744-9A63-186A3ABC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92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Teachingandlearning@grad2teach.ac.uk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mailto:teachingandlearning@grad2teach.ac.uk" TargetMode="External" Id="Rf4360e19f61c441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9f7603a4084cc55b4dcfac64854be724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4648b9eb8a037d3779e821281768118f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ABnotes xmlns="e5873d33-56ae-40f9-8b97-64a660b0ab54">Not checked</ABnotes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EF572CC8-9BD5-4B69-B01A-5BA623ECE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F650D-CC84-4860-9049-05DFCF77AC63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E106ED-40B9-4997-8CE6-6B7FF345B1C4}">
  <ds:schemaRefs>
    <ds:schemaRef ds:uri="http://schemas.microsoft.com/office/2006/metadata/properties"/>
    <ds:schemaRef ds:uri="http://schemas.microsoft.com/office/infopath/2007/PartnerControls"/>
    <ds:schemaRef ds:uri="65367d0b-6b95-4f86-8389-3282b3846db3"/>
    <ds:schemaRef ds:uri="b3aa22f9-cc7b-464c-a307-4f3ca8762b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 Braithwaite</lastModifiedBy>
  <revision>7</revision>
  <dcterms:created xsi:type="dcterms:W3CDTF">2025-07-23T13:08:00.0000000Z</dcterms:created>
  <dcterms:modified xsi:type="dcterms:W3CDTF">2026-05-01T09:41:48.4710038Z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  <property fmtid="{D5CDD505-2E9C-101B-9397-08002B2CF9AE}" pid="3" name="MediaServiceImageTags">
    <vt:lpwstr/>
  </property>
</Properties>
</file>