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AF357FC" w:rsidP="70F3ED93" w:rsidRDefault="2AF357FC" w14:paraId="406D6563" w14:textId="48D9AD39">
      <w:pPr>
        <w:pStyle w:val="Title"/>
        <w:pBdr>
          <w:bottom w:val="single" w:color="4F81BD" w:sz="8" w:space="4"/>
        </w:pBdr>
      </w:pPr>
      <w:r w:rsidRPr="70F3ED93">
        <w:rPr>
          <w:rFonts w:ascii="Arial" w:hAnsi="Arial" w:eastAsia="Arial" w:cs="Arial"/>
        </w:rPr>
        <w:t xml:space="preserve">Health &amp; Safety Policy </w:t>
      </w:r>
    </w:p>
    <w:tbl>
      <w:tblPr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229"/>
        <w:gridCol w:w="1830"/>
        <w:gridCol w:w="2188"/>
        <w:gridCol w:w="2512"/>
      </w:tblGrid>
      <w:tr w:rsidR="70F3ED93" w:rsidTr="5B866CF9" w14:paraId="0867454F" w14:textId="77777777">
        <w:trPr>
          <w:trHeight w:val="300"/>
        </w:trPr>
        <w:tc>
          <w:tcPr>
            <w:tcW w:w="2229" w:type="dxa"/>
            <w:tcMar/>
            <w:vAlign w:val="center"/>
          </w:tcPr>
          <w:p w:rsidR="70F3ED93" w:rsidP="70F3ED93" w:rsidRDefault="70F3ED93" w14:paraId="73215F57" w14:textId="35ED3155">
            <w:pPr>
              <w:spacing w:after="0"/>
              <w:jc w:val="center"/>
              <w:rPr>
                <w:rFonts w:ascii="Arial" w:hAnsi="Arial" w:eastAsia="Arial" w:cs="Arial"/>
                <w:b/>
                <w:bCs/>
              </w:rPr>
            </w:pPr>
            <w:r w:rsidRPr="70F3ED93">
              <w:rPr>
                <w:rFonts w:ascii="Arial" w:hAnsi="Arial" w:eastAsia="Arial" w:cs="Arial"/>
                <w:b/>
                <w:bCs/>
              </w:rPr>
              <w:t>Policy Number</w:t>
            </w:r>
          </w:p>
        </w:tc>
        <w:tc>
          <w:tcPr>
            <w:tcW w:w="1830" w:type="dxa"/>
            <w:tcMar/>
            <w:vAlign w:val="center"/>
          </w:tcPr>
          <w:p w:rsidR="70F3ED93" w:rsidP="70F3ED93" w:rsidRDefault="70F3ED93" w14:paraId="68968B17" w14:textId="045D2354">
            <w:pPr>
              <w:spacing w:after="0"/>
              <w:jc w:val="center"/>
              <w:rPr>
                <w:rFonts w:ascii="Arial" w:hAnsi="Arial" w:eastAsia="Arial" w:cs="Arial"/>
                <w:b/>
                <w:bCs/>
              </w:rPr>
            </w:pPr>
            <w:r w:rsidRPr="70F3ED93">
              <w:rPr>
                <w:rFonts w:ascii="Arial" w:hAnsi="Arial" w:eastAsia="Arial" w:cs="Arial"/>
                <w:b/>
                <w:bCs/>
              </w:rPr>
              <w:t>Version</w:t>
            </w:r>
          </w:p>
        </w:tc>
        <w:tc>
          <w:tcPr>
            <w:tcW w:w="2188" w:type="dxa"/>
            <w:tcMar/>
            <w:vAlign w:val="center"/>
          </w:tcPr>
          <w:p w:rsidR="70F3ED93" w:rsidP="70F3ED93" w:rsidRDefault="70F3ED93" w14:paraId="3CC982CB" w14:textId="49F9492C">
            <w:pPr>
              <w:spacing w:after="0"/>
              <w:jc w:val="center"/>
              <w:rPr>
                <w:rFonts w:ascii="Arial" w:hAnsi="Arial" w:eastAsia="Arial" w:cs="Arial"/>
                <w:b/>
                <w:bCs/>
              </w:rPr>
            </w:pPr>
            <w:r w:rsidRPr="70F3ED93">
              <w:rPr>
                <w:rFonts w:ascii="Arial" w:hAnsi="Arial" w:eastAsia="Arial" w:cs="Arial"/>
                <w:b/>
                <w:bCs/>
              </w:rPr>
              <w:t>Issue Date</w:t>
            </w:r>
          </w:p>
        </w:tc>
        <w:tc>
          <w:tcPr>
            <w:tcW w:w="2512" w:type="dxa"/>
            <w:tcMar/>
            <w:vAlign w:val="center"/>
          </w:tcPr>
          <w:p w:rsidR="70F3ED93" w:rsidP="70F3ED93" w:rsidRDefault="70F3ED93" w14:paraId="0AEE405B" w14:textId="3E69B30C">
            <w:pPr>
              <w:spacing w:after="0"/>
              <w:jc w:val="center"/>
              <w:rPr>
                <w:rFonts w:ascii="Arial" w:hAnsi="Arial" w:eastAsia="Arial" w:cs="Arial"/>
                <w:b/>
                <w:bCs/>
              </w:rPr>
            </w:pPr>
            <w:r w:rsidRPr="70F3ED93">
              <w:rPr>
                <w:rFonts w:ascii="Arial" w:hAnsi="Arial" w:eastAsia="Arial" w:cs="Arial"/>
                <w:b/>
                <w:bCs/>
              </w:rPr>
              <w:t>Review Date</w:t>
            </w:r>
          </w:p>
        </w:tc>
      </w:tr>
      <w:tr w:rsidR="70F3ED93" w:rsidTr="5B866CF9" w14:paraId="29F50E50" w14:textId="77777777">
        <w:trPr>
          <w:trHeight w:val="300"/>
        </w:trPr>
        <w:tc>
          <w:tcPr>
            <w:tcW w:w="2229" w:type="dxa"/>
            <w:tcMar/>
            <w:vAlign w:val="center"/>
          </w:tcPr>
          <w:p w:rsidR="70F3ED93" w:rsidP="70F3ED93" w:rsidRDefault="70F3ED93" w14:paraId="58C7B04E" w14:textId="5DF3ADD0">
            <w:pPr>
              <w:spacing w:after="0"/>
              <w:rPr>
                <w:rFonts w:ascii="Arial" w:hAnsi="Arial" w:eastAsia="Arial" w:cs="Arial"/>
              </w:rPr>
            </w:pPr>
            <w:r w:rsidRPr="6FDC70F2" w:rsidR="70F3ED93">
              <w:rPr>
                <w:rFonts w:ascii="Arial" w:hAnsi="Arial" w:eastAsia="Arial" w:cs="Arial"/>
              </w:rPr>
              <w:t>G2T-PMO-03.02.</w:t>
            </w:r>
            <w:r w:rsidRPr="6FDC70F2" w:rsidR="17420777">
              <w:rPr>
                <w:rFonts w:ascii="Arial" w:hAnsi="Arial" w:eastAsia="Arial" w:cs="Arial"/>
              </w:rPr>
              <w:t>70</w:t>
            </w:r>
          </w:p>
        </w:tc>
        <w:tc>
          <w:tcPr>
            <w:tcW w:w="1830" w:type="dxa"/>
            <w:tcMar/>
            <w:vAlign w:val="center"/>
          </w:tcPr>
          <w:p w:rsidR="70F3ED93" w:rsidP="70F3ED93" w:rsidRDefault="70F3ED93" w14:paraId="40502FE6" w14:textId="37BE04E9">
            <w:pPr>
              <w:spacing w:after="0"/>
              <w:rPr>
                <w:rFonts w:ascii="Arial" w:hAnsi="Arial" w:eastAsia="Arial" w:cs="Arial"/>
              </w:rPr>
            </w:pPr>
            <w:r w:rsidRPr="1BED867C" w:rsidR="6683204B">
              <w:rPr>
                <w:rFonts w:ascii="Arial" w:hAnsi="Arial" w:eastAsia="Arial" w:cs="Arial"/>
              </w:rPr>
              <w:t>2</w:t>
            </w:r>
            <w:r w:rsidRPr="1BED867C" w:rsidR="70F3ED93">
              <w:rPr>
                <w:rFonts w:ascii="Arial" w:hAnsi="Arial" w:eastAsia="Arial" w:cs="Arial"/>
              </w:rPr>
              <w:t>.</w:t>
            </w:r>
            <w:r w:rsidRPr="1BED867C" w:rsidR="6045FF2A">
              <w:rPr>
                <w:rFonts w:ascii="Arial" w:hAnsi="Arial" w:eastAsia="Arial" w:cs="Arial"/>
              </w:rPr>
              <w:t>1</w:t>
            </w:r>
          </w:p>
        </w:tc>
        <w:tc>
          <w:tcPr>
            <w:tcW w:w="2188" w:type="dxa"/>
            <w:tcMar/>
            <w:vAlign w:val="center"/>
          </w:tcPr>
          <w:p w:rsidR="70F3ED93" w:rsidP="1BED867C" w:rsidRDefault="70F3ED93" w14:paraId="434A46A4" w14:textId="152A1D5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1BED867C" w:rsidR="713C8452">
              <w:rPr>
                <w:rFonts w:ascii="Arial" w:hAnsi="Arial" w:eastAsia="Arial" w:cs="Arial"/>
              </w:rPr>
              <w:t>23.04.2026</w:t>
            </w:r>
          </w:p>
        </w:tc>
        <w:tc>
          <w:tcPr>
            <w:tcW w:w="2512" w:type="dxa"/>
            <w:tcMar/>
            <w:vAlign w:val="center"/>
          </w:tcPr>
          <w:p w:rsidR="70F3ED93" w:rsidP="1BED867C" w:rsidRDefault="70F3ED93" w14:paraId="30847F94" w14:textId="7D582B0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B866CF9" w:rsidR="713C8452">
              <w:rPr>
                <w:rFonts w:ascii="Arial" w:hAnsi="Arial" w:eastAsia="Arial" w:cs="Arial"/>
              </w:rPr>
              <w:t>2</w:t>
            </w:r>
            <w:r w:rsidRPr="5B866CF9" w:rsidR="4640B28F">
              <w:rPr>
                <w:rFonts w:ascii="Arial" w:hAnsi="Arial" w:eastAsia="Arial" w:cs="Arial"/>
              </w:rPr>
              <w:t>6</w:t>
            </w:r>
            <w:r w:rsidRPr="5B866CF9" w:rsidR="713C8452">
              <w:rPr>
                <w:rFonts w:ascii="Arial" w:hAnsi="Arial" w:eastAsia="Arial" w:cs="Arial"/>
              </w:rPr>
              <w:t>.0</w:t>
            </w:r>
            <w:r w:rsidRPr="5B866CF9" w:rsidR="3EB62D0C">
              <w:rPr>
                <w:rFonts w:ascii="Arial" w:hAnsi="Arial" w:eastAsia="Arial" w:cs="Arial"/>
              </w:rPr>
              <w:t>8</w:t>
            </w:r>
            <w:r w:rsidRPr="5B866CF9" w:rsidR="713C8452">
              <w:rPr>
                <w:rFonts w:ascii="Arial" w:hAnsi="Arial" w:eastAsia="Arial" w:cs="Arial"/>
              </w:rPr>
              <w:t>.2026</w:t>
            </w:r>
          </w:p>
        </w:tc>
      </w:tr>
    </w:tbl>
    <w:p w:rsidR="7680BD6C" w:rsidP="70F3ED93" w:rsidRDefault="7680BD6C" w14:paraId="4C25A234" w14:textId="40E820F7">
      <w:pPr>
        <w:spacing w:before="240" w:after="240"/>
        <w:rPr>
          <w:rFonts w:ascii="Arial" w:hAnsi="Arial" w:eastAsia="Arial" w:cs="Arial"/>
        </w:rPr>
      </w:pPr>
      <w:r w:rsidRPr="1BED867C" w:rsidR="7680BD6C">
        <w:rPr>
          <w:rFonts w:ascii="Arial" w:hAnsi="Arial" w:eastAsia="Arial" w:cs="Arial"/>
          <w:b w:val="1"/>
          <w:bCs w:val="1"/>
        </w:rPr>
        <w:t>Approved By:</w:t>
      </w:r>
      <w:r w:rsidRPr="1BED867C" w:rsidR="7680BD6C">
        <w:rPr>
          <w:rFonts w:ascii="Arial" w:hAnsi="Arial" w:eastAsia="Arial" w:cs="Arial"/>
        </w:rPr>
        <w:t xml:space="preserve"> </w:t>
      </w:r>
      <w:r w:rsidRPr="1BED867C" w:rsidR="0C583050">
        <w:rPr>
          <w:rFonts w:ascii="Arial" w:hAnsi="Arial" w:eastAsia="Arial" w:cs="Arial"/>
        </w:rPr>
        <w:t>Course Manager</w:t>
      </w:r>
      <w:r>
        <w:br/>
      </w:r>
      <w:r w:rsidRPr="1BED867C" w:rsidR="7680BD6C">
        <w:rPr>
          <w:rFonts w:ascii="Arial" w:hAnsi="Arial" w:eastAsia="Arial" w:cs="Arial"/>
          <w:b w:val="1"/>
          <w:bCs w:val="1"/>
        </w:rPr>
        <w:t>Owner:</w:t>
      </w:r>
      <w:r w:rsidRPr="1BED867C" w:rsidR="7680BD6C">
        <w:rPr>
          <w:rFonts w:ascii="Arial" w:hAnsi="Arial" w:eastAsia="Arial" w:cs="Arial"/>
        </w:rPr>
        <w:t xml:space="preserve"> </w:t>
      </w:r>
      <w:r w:rsidRPr="1BED867C" w:rsidR="489E8865">
        <w:rPr>
          <w:rFonts w:ascii="Arial" w:hAnsi="Arial" w:eastAsia="Arial" w:cs="Arial"/>
        </w:rPr>
        <w:t xml:space="preserve">Managing </w:t>
      </w:r>
      <w:r w:rsidRPr="1BED867C" w:rsidR="7680BD6C">
        <w:rPr>
          <w:rFonts w:ascii="Arial" w:hAnsi="Arial" w:eastAsia="Arial" w:cs="Arial"/>
        </w:rPr>
        <w:t>Director</w:t>
      </w:r>
      <w:r w:rsidRPr="1BED867C" w:rsidR="0AA9B1DA">
        <w:rPr>
          <w:rFonts w:ascii="Arial" w:hAnsi="Arial" w:eastAsia="Arial" w:cs="Arial"/>
        </w:rPr>
        <w:t xml:space="preserve"> [Compliance Lead]</w:t>
      </w:r>
    </w:p>
    <w:p w:rsidR="00E26241" w:rsidP="70F3ED93" w:rsidRDefault="00CE013E" w14:paraId="659F17F5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1. Introduction</w:t>
      </w:r>
    </w:p>
    <w:p w:rsidR="0413FDFA" w:rsidP="70F3ED93" w:rsidRDefault="0413FDFA" w14:paraId="54B12C00" w14:textId="33D28A0A">
      <w:pPr>
        <w:spacing w:before="240" w:after="240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 xml:space="preserve">This Health &amp; Safety Policy outlines Grad2Teach’s commitment to providing a safe, healthy, and compliant environment for all learners, staff, assessors, </w:t>
      </w:r>
      <w:r w:rsidRPr="70F3ED93">
        <w:rPr>
          <w:rFonts w:ascii="Arial" w:hAnsi="Arial" w:eastAsia="Arial" w:cs="Arial"/>
          <w:b/>
          <w:bCs/>
        </w:rPr>
        <w:t>Internal Quality Assurers (IQAs)</w:t>
      </w:r>
      <w:r w:rsidRPr="70F3ED93">
        <w:rPr>
          <w:rFonts w:ascii="Arial" w:hAnsi="Arial" w:eastAsia="Arial" w:cs="Arial"/>
        </w:rPr>
        <w:t xml:space="preserve">, and visitors engaged in delivering and supporting NCFE </w:t>
      </w:r>
      <w:proofErr w:type="spellStart"/>
      <w:r w:rsidRPr="70F3ED93">
        <w:rPr>
          <w:rFonts w:ascii="Arial" w:hAnsi="Arial" w:eastAsia="Arial" w:cs="Arial"/>
        </w:rPr>
        <w:t>Customised</w:t>
      </w:r>
      <w:proofErr w:type="spellEnd"/>
      <w:r w:rsidRPr="70F3ED93">
        <w:rPr>
          <w:rFonts w:ascii="Arial" w:hAnsi="Arial" w:eastAsia="Arial" w:cs="Arial"/>
        </w:rPr>
        <w:t xml:space="preserve"> Qualifications.</w:t>
      </w:r>
    </w:p>
    <w:p w:rsidR="0413FDFA" w:rsidP="70F3ED93" w:rsidRDefault="0413FDFA" w14:paraId="54959DCB" w14:textId="7547146E">
      <w:pPr>
        <w:spacing w:before="240" w:after="240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 xml:space="preserve">This policy complies with relevant UK legislation, including the Health and Safety at Work Act 1974, and is aligned with NCFE’s </w:t>
      </w:r>
      <w:proofErr w:type="spellStart"/>
      <w:r w:rsidRPr="70F3ED93">
        <w:rPr>
          <w:rFonts w:ascii="Arial" w:hAnsi="Arial" w:eastAsia="Arial" w:cs="Arial"/>
        </w:rPr>
        <w:t>Customised</w:t>
      </w:r>
      <w:proofErr w:type="spellEnd"/>
      <w:r w:rsidRPr="70F3ED93">
        <w:rPr>
          <w:rFonts w:ascii="Arial" w:hAnsi="Arial" w:eastAsia="Arial" w:cs="Arial"/>
        </w:rPr>
        <w:t xml:space="preserve"> Qualification Approval Criteria.</w:t>
      </w:r>
    </w:p>
    <w:p w:rsidR="00E26241" w:rsidP="70F3ED93" w:rsidRDefault="00CE013E" w14:paraId="52EA3030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2. Policy Scope</w:t>
      </w:r>
    </w:p>
    <w:p w:rsidR="00E26241" w:rsidP="70F3ED93" w:rsidRDefault="00CE013E" w14:paraId="7D4785EA" w14:textId="77777777">
      <w:pPr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 xml:space="preserve">This policy applies to all training venues, delivery environments, offices, and third-party facilities used by Grad2Teach for </w:t>
      </w:r>
      <w:proofErr w:type="spellStart"/>
      <w:r w:rsidRPr="70F3ED93">
        <w:rPr>
          <w:rFonts w:ascii="Arial" w:hAnsi="Arial" w:eastAsia="Arial" w:cs="Arial"/>
        </w:rPr>
        <w:t>Customised</w:t>
      </w:r>
      <w:proofErr w:type="spellEnd"/>
      <w:r w:rsidRPr="70F3ED93">
        <w:rPr>
          <w:rFonts w:ascii="Arial" w:hAnsi="Arial" w:eastAsia="Arial" w:cs="Arial"/>
        </w:rPr>
        <w:t xml:space="preserve"> Qualification activities.</w:t>
      </w:r>
    </w:p>
    <w:p w:rsidR="00E26241" w:rsidP="70F3ED93" w:rsidRDefault="00CE013E" w14:paraId="3BE9521A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3. Responsibilities</w:t>
      </w:r>
    </w:p>
    <w:p w:rsidR="00CE013E" w:rsidP="70F3ED93" w:rsidRDefault="1624F4DA" w14:paraId="6FCE20BA" w14:textId="2EA0D454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70CB348F" w:rsidR="1624F4DA">
        <w:rPr>
          <w:rFonts w:ascii="Arial" w:hAnsi="Arial" w:eastAsia="Arial" w:cs="Arial"/>
        </w:rPr>
        <w:t xml:space="preserve">The </w:t>
      </w:r>
      <w:r w:rsidRPr="70CB348F" w:rsidR="5AEA0B21">
        <w:rPr>
          <w:rFonts w:ascii="Arial" w:hAnsi="Arial" w:eastAsia="Arial" w:cs="Arial"/>
        </w:rPr>
        <w:t xml:space="preserve">Managing </w:t>
      </w:r>
      <w:r w:rsidRPr="70CB348F" w:rsidR="1624F4DA">
        <w:rPr>
          <w:rFonts w:ascii="Arial" w:hAnsi="Arial" w:eastAsia="Arial" w:cs="Arial"/>
        </w:rPr>
        <w:t>Director of Grad2Teach</w:t>
      </w:r>
      <w:r w:rsidRPr="70CB348F" w:rsidR="00CE013E">
        <w:rPr>
          <w:rFonts w:ascii="Arial" w:hAnsi="Arial" w:eastAsia="Arial" w:cs="Arial"/>
        </w:rPr>
        <w:t xml:space="preserve"> has overall responsibility for health and safety.</w:t>
      </w:r>
    </w:p>
    <w:p w:rsidR="00CE013E" w:rsidP="70F3ED93" w:rsidRDefault="00CE013E" w14:paraId="66E4AC62" w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All staff are expected to report hazards and adhere to safety guidance.</w:t>
      </w:r>
    </w:p>
    <w:p w:rsidR="00E26241" w:rsidP="70F3ED93" w:rsidRDefault="00CE013E" w14:paraId="0BE0FB11" w14:textId="264602C3">
      <w:pPr>
        <w:pStyle w:val="ListParagraph"/>
        <w:numPr>
          <w:ilvl w:val="0"/>
          <w:numId w:val="10"/>
        </w:numPr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Trainers, assessors, and IQAs must ensure learners are aware of emergency procedures at all delivery locations.</w:t>
      </w:r>
    </w:p>
    <w:p w:rsidR="00E26241" w:rsidP="70F3ED93" w:rsidRDefault="00CE013E" w14:paraId="510C61EA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4. Risk Assessment</w:t>
      </w:r>
    </w:p>
    <w:p w:rsidR="00E26241" w:rsidP="70F3ED93" w:rsidRDefault="00CE013E" w14:paraId="63152453" w14:textId="1258AD0A">
      <w:pPr>
        <w:rPr>
          <w:rFonts w:ascii="Arial" w:hAnsi="Arial" w:eastAsia="Arial" w:cs="Arial"/>
        </w:rPr>
      </w:pPr>
      <w:r w:rsidRPr="59D7CBEF">
        <w:rPr>
          <w:rFonts w:ascii="Arial" w:hAnsi="Arial" w:eastAsia="Arial" w:cs="Arial"/>
        </w:rPr>
        <w:t>Risk assessments must be completed for all environments and activities</w:t>
      </w:r>
      <w:r w:rsidRPr="59D7CBEF" w:rsidR="058BE272">
        <w:rPr>
          <w:rFonts w:ascii="Arial" w:hAnsi="Arial" w:eastAsia="Arial" w:cs="Arial"/>
        </w:rPr>
        <w:t xml:space="preserve"> using the correct risk assessment form</w:t>
      </w:r>
      <w:r w:rsidRPr="59D7CBEF">
        <w:rPr>
          <w:rFonts w:ascii="Arial" w:hAnsi="Arial" w:eastAsia="Arial" w:cs="Arial"/>
        </w:rPr>
        <w:t xml:space="preserve">. </w:t>
      </w:r>
      <w:r w:rsidRPr="59D7CBEF" w:rsidR="77AF182F">
        <w:rPr>
          <w:rFonts w:ascii="Arial" w:hAnsi="Arial" w:eastAsia="Arial" w:cs="Arial"/>
        </w:rPr>
        <w:t xml:space="preserve">The form must be emailed to the Course Manager to sign off. </w:t>
      </w:r>
      <w:r w:rsidRPr="59D7CBEF">
        <w:rPr>
          <w:rFonts w:ascii="Arial" w:hAnsi="Arial" w:eastAsia="Arial" w:cs="Arial"/>
        </w:rPr>
        <w:t>These are reviewed annually or when significant changes occur.</w:t>
      </w:r>
    </w:p>
    <w:p w:rsidR="00E26241" w:rsidP="70F3ED93" w:rsidRDefault="00CE013E" w14:paraId="3D1F6795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5. Accident Reporting</w:t>
      </w:r>
    </w:p>
    <w:p w:rsidR="00E26241" w:rsidP="70F3ED93" w:rsidRDefault="00CE013E" w14:paraId="78D59A63" w14:textId="06CE84FE">
      <w:pPr>
        <w:rPr>
          <w:rFonts w:ascii="Arial" w:hAnsi="Arial" w:eastAsia="Arial" w:cs="Arial"/>
        </w:rPr>
      </w:pPr>
      <w:r w:rsidRPr="59D7CBEF">
        <w:rPr>
          <w:rFonts w:ascii="Arial" w:hAnsi="Arial" w:eastAsia="Arial" w:cs="Arial"/>
        </w:rPr>
        <w:t>All accidents and near misses must be reported using the Incident Report Form</w:t>
      </w:r>
      <w:r w:rsidRPr="59D7CBEF" w:rsidR="7DD881FD">
        <w:rPr>
          <w:rFonts w:ascii="Arial" w:hAnsi="Arial" w:eastAsia="Arial" w:cs="Arial"/>
        </w:rPr>
        <w:t xml:space="preserve"> and emailed to the Course Manager.</w:t>
      </w:r>
      <w:r w:rsidRPr="59D7CBEF">
        <w:rPr>
          <w:rFonts w:ascii="Arial" w:hAnsi="Arial" w:eastAsia="Arial" w:cs="Arial"/>
        </w:rPr>
        <w:t xml:space="preserve"> Records are retained for a minimum of 3 years.</w:t>
      </w:r>
    </w:p>
    <w:p w:rsidR="00E26241" w:rsidP="70F3ED93" w:rsidRDefault="00CE013E" w14:paraId="3590D14F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lastRenderedPageBreak/>
        <w:t>6. Insurance</w:t>
      </w:r>
    </w:p>
    <w:p w:rsidR="00E26241" w:rsidP="70F3ED93" w:rsidRDefault="00CE013E" w14:paraId="0FBA9B98" w14:textId="77777777">
      <w:pPr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Grad2Teach maintains valid Public Liability Insurance of £5,000,000 as confirmed in the attached summary.</w:t>
      </w:r>
    </w:p>
    <w:p w:rsidR="00E26241" w:rsidP="70F3ED93" w:rsidRDefault="00CE013E" w14:paraId="04EFCC2C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7. Review</w:t>
      </w:r>
    </w:p>
    <w:p w:rsidR="00E26241" w:rsidP="70F3ED93" w:rsidRDefault="00CE013E" w14:paraId="7E785F11" w14:textId="705D3115">
      <w:pPr>
        <w:rPr>
          <w:rFonts w:ascii="Arial" w:hAnsi="Arial" w:eastAsia="Arial" w:cs="Arial"/>
        </w:rPr>
      </w:pPr>
      <w:r w:rsidRPr="211AB5E5">
        <w:rPr>
          <w:rFonts w:ascii="Arial" w:hAnsi="Arial" w:eastAsia="Arial" w:cs="Arial"/>
        </w:rPr>
        <w:t xml:space="preserve">This policy is reviewed annually or following a significant incident. The next scheduled review is one year from </w:t>
      </w:r>
      <w:r w:rsidRPr="211AB5E5" w:rsidR="1E08C360">
        <w:rPr>
          <w:rFonts w:ascii="Arial" w:hAnsi="Arial" w:eastAsia="Arial" w:cs="Arial"/>
        </w:rPr>
        <w:t>the issue</w:t>
      </w:r>
      <w:r w:rsidRPr="211AB5E5">
        <w:rPr>
          <w:rFonts w:ascii="Arial" w:hAnsi="Arial" w:eastAsia="Arial" w:cs="Arial"/>
        </w:rPr>
        <w:t xml:space="preserve"> date.</w:t>
      </w:r>
    </w:p>
    <w:p w:rsidR="00E26241" w:rsidP="70F3ED93" w:rsidRDefault="00CE013E" w14:paraId="6AE3FA05" w14:textId="77777777">
      <w:pPr>
        <w:pStyle w:val="Heading2"/>
        <w:rPr>
          <w:rFonts w:ascii="Arial" w:hAnsi="Arial" w:eastAsia="Arial" w:cs="Arial"/>
        </w:rPr>
      </w:pPr>
      <w:r w:rsidRPr="70F3ED93">
        <w:rPr>
          <w:rFonts w:ascii="Arial" w:hAnsi="Arial" w:eastAsia="Arial" w:cs="Arial"/>
        </w:rPr>
        <w:t>Policy Owner and Date</w:t>
      </w:r>
    </w:p>
    <w:p w:rsidR="00E26241" w:rsidP="70F3ED93" w:rsidRDefault="00CE013E" w14:paraId="46FB92EB" w14:textId="0C60AD3E">
      <w:pPr>
        <w:rPr>
          <w:rFonts w:ascii="Arial" w:hAnsi="Arial" w:eastAsia="Arial" w:cs="Arial"/>
        </w:rPr>
      </w:pPr>
      <w:r w:rsidRPr="779B2FD1" w:rsidR="4E90D6E9">
        <w:rPr>
          <w:rFonts w:ascii="Arial" w:hAnsi="Arial" w:eastAsia="Arial" w:cs="Arial"/>
        </w:rPr>
        <w:t xml:space="preserve">Managing </w:t>
      </w:r>
      <w:r w:rsidRPr="779B2FD1" w:rsidR="00CE013E">
        <w:rPr>
          <w:rFonts w:ascii="Arial" w:hAnsi="Arial" w:eastAsia="Arial" w:cs="Arial"/>
        </w:rPr>
        <w:t xml:space="preserve">Director </w:t>
      </w:r>
      <w:r w:rsidRPr="779B2FD1" w:rsidR="2532B78F">
        <w:rPr>
          <w:rFonts w:ascii="Arial" w:hAnsi="Arial" w:eastAsia="Arial" w:cs="Arial"/>
        </w:rPr>
        <w:t>(</w:t>
      </w:r>
      <w:r w:rsidRPr="779B2FD1" w:rsidR="00CE013E">
        <w:rPr>
          <w:rFonts w:ascii="Arial" w:hAnsi="Arial" w:eastAsia="Arial" w:cs="Arial"/>
        </w:rPr>
        <w:t>Compliance</w:t>
      </w:r>
      <w:r w:rsidRPr="779B2FD1" w:rsidR="2A17601F">
        <w:rPr>
          <w:rFonts w:ascii="Arial" w:hAnsi="Arial" w:eastAsia="Arial" w:cs="Arial"/>
        </w:rPr>
        <w:t xml:space="preserve"> Lead)</w:t>
      </w:r>
      <w:r w:rsidRPr="779B2FD1" w:rsidR="00CE013E">
        <w:rPr>
          <w:rFonts w:ascii="Arial" w:hAnsi="Arial" w:eastAsia="Arial" w:cs="Arial"/>
        </w:rPr>
        <w:t xml:space="preserve"> – Issued 2</w:t>
      </w:r>
      <w:r w:rsidRPr="779B2FD1" w:rsidR="1A3F960E">
        <w:rPr>
          <w:rFonts w:ascii="Arial" w:hAnsi="Arial" w:eastAsia="Arial" w:cs="Arial"/>
        </w:rPr>
        <w:t>3.04.2026</w:t>
      </w:r>
    </w:p>
    <w:sectPr w:rsidR="00E26241" w:rsidSect="00034616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B25" w:rsidP="00CE013E" w:rsidRDefault="00BC0B25" w14:paraId="78929B53" w14:textId="77777777">
      <w:pPr>
        <w:spacing w:after="0" w:line="240" w:lineRule="auto"/>
      </w:pPr>
      <w:r>
        <w:separator/>
      </w:r>
    </w:p>
  </w:endnote>
  <w:endnote w:type="continuationSeparator" w:id="0">
    <w:p w:rsidR="00BC0B25" w:rsidP="00CE013E" w:rsidRDefault="00BC0B25" w14:paraId="438BF9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06BA88A" w:rsidTr="606BA88A" w14:paraId="20D6341A" w14:textId="77777777">
      <w:trPr>
        <w:trHeight w:val="300"/>
      </w:trPr>
      <w:tc>
        <w:tcPr>
          <w:tcW w:w="2880" w:type="dxa"/>
        </w:tcPr>
        <w:p w:rsidR="606BA88A" w:rsidP="606BA88A" w:rsidRDefault="606BA88A" w14:paraId="3C388DEA" w14:textId="5F297087">
          <w:pPr>
            <w:pStyle w:val="Header"/>
            <w:ind w:left="-115"/>
          </w:pPr>
        </w:p>
      </w:tc>
      <w:tc>
        <w:tcPr>
          <w:tcW w:w="2880" w:type="dxa"/>
        </w:tcPr>
        <w:p w:rsidR="606BA88A" w:rsidP="606BA88A" w:rsidRDefault="606BA88A" w14:paraId="67F62B13" w14:textId="206D98ED">
          <w:pPr>
            <w:pStyle w:val="Header"/>
            <w:jc w:val="center"/>
          </w:pPr>
        </w:p>
      </w:tc>
      <w:tc>
        <w:tcPr>
          <w:tcW w:w="2880" w:type="dxa"/>
        </w:tcPr>
        <w:p w:rsidR="606BA88A" w:rsidP="606BA88A" w:rsidRDefault="606BA88A" w14:paraId="35A16945" w14:textId="25404250">
          <w:pPr>
            <w:pStyle w:val="Header"/>
            <w:ind w:right="-115"/>
            <w:jc w:val="right"/>
          </w:pPr>
        </w:p>
      </w:tc>
    </w:tr>
  </w:tbl>
  <w:p w:rsidR="606BA88A" w:rsidP="606BA88A" w:rsidRDefault="606BA88A" w14:paraId="66EB223F" w14:textId="2C407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B25" w:rsidP="00CE013E" w:rsidRDefault="00BC0B25" w14:paraId="4C659578" w14:textId="77777777">
      <w:pPr>
        <w:spacing w:after="0" w:line="240" w:lineRule="auto"/>
      </w:pPr>
      <w:r>
        <w:separator/>
      </w:r>
    </w:p>
  </w:footnote>
  <w:footnote w:type="continuationSeparator" w:id="0">
    <w:p w:rsidR="00BC0B25" w:rsidP="00CE013E" w:rsidRDefault="00BC0B25" w14:paraId="31C56E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013E" w:rsidRDefault="00CE013E" w14:paraId="0E814589" w14:textId="0CEEF6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7D1BA" wp14:editId="0CC32DBE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750810" cy="1842135"/>
          <wp:effectExtent l="0" t="0" r="2540" b="5715"/>
          <wp:wrapTight wrapText="bothSides">
            <wp:wrapPolygon edited="0">
              <wp:start x="0" y="0"/>
              <wp:lineTo x="0" y="21444"/>
              <wp:lineTo x="21554" y="21444"/>
              <wp:lineTo x="21554" y="0"/>
              <wp:lineTo x="0" y="0"/>
            </wp:wrapPolygon>
          </wp:wrapTight>
          <wp:docPr id="1446378210" name="Picture 2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78210" name="Picture 2" descr="A red and white sign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1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6C891D0A"/>
    <w:multiLevelType w:val="hybridMultilevel"/>
    <w:tmpl w:val="6CA682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4143614">
    <w:abstractNumId w:val="8"/>
  </w:num>
  <w:num w:numId="2" w16cid:durableId="1114640755">
    <w:abstractNumId w:val="6"/>
  </w:num>
  <w:num w:numId="3" w16cid:durableId="375468670">
    <w:abstractNumId w:val="5"/>
  </w:num>
  <w:num w:numId="4" w16cid:durableId="2141268300">
    <w:abstractNumId w:val="4"/>
  </w:num>
  <w:num w:numId="5" w16cid:durableId="2127507002">
    <w:abstractNumId w:val="7"/>
  </w:num>
  <w:num w:numId="6" w16cid:durableId="1283800754">
    <w:abstractNumId w:val="3"/>
  </w:num>
  <w:num w:numId="7" w16cid:durableId="2127234726">
    <w:abstractNumId w:val="2"/>
  </w:num>
  <w:num w:numId="8" w16cid:durableId="1475679181">
    <w:abstractNumId w:val="1"/>
  </w:num>
  <w:num w:numId="9" w16cid:durableId="2053728120">
    <w:abstractNumId w:val="0"/>
  </w:num>
  <w:num w:numId="10" w16cid:durableId="1851682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4AA5"/>
    <w:rsid w:val="005B4C30"/>
    <w:rsid w:val="00653C69"/>
    <w:rsid w:val="00905A62"/>
    <w:rsid w:val="009600FD"/>
    <w:rsid w:val="00AA1D8D"/>
    <w:rsid w:val="00B47730"/>
    <w:rsid w:val="00BC0B25"/>
    <w:rsid w:val="00CB0664"/>
    <w:rsid w:val="00CE013E"/>
    <w:rsid w:val="00E26241"/>
    <w:rsid w:val="00FC693F"/>
    <w:rsid w:val="00FD7BE5"/>
    <w:rsid w:val="016599C1"/>
    <w:rsid w:val="0413FDFA"/>
    <w:rsid w:val="053B1FA9"/>
    <w:rsid w:val="058BE272"/>
    <w:rsid w:val="0AA9B1DA"/>
    <w:rsid w:val="0C583050"/>
    <w:rsid w:val="0DDEDA9E"/>
    <w:rsid w:val="160DE514"/>
    <w:rsid w:val="1624F4DA"/>
    <w:rsid w:val="17420777"/>
    <w:rsid w:val="1A3F960E"/>
    <w:rsid w:val="1BED867C"/>
    <w:rsid w:val="1E08C360"/>
    <w:rsid w:val="211AB5E5"/>
    <w:rsid w:val="2532B78F"/>
    <w:rsid w:val="261DADCC"/>
    <w:rsid w:val="282D63E3"/>
    <w:rsid w:val="2A17601F"/>
    <w:rsid w:val="2AF357FC"/>
    <w:rsid w:val="2B1846E8"/>
    <w:rsid w:val="30E18C69"/>
    <w:rsid w:val="36B8CCD6"/>
    <w:rsid w:val="3EB62D0C"/>
    <w:rsid w:val="4214DCEB"/>
    <w:rsid w:val="44398142"/>
    <w:rsid w:val="4640B28F"/>
    <w:rsid w:val="489E8865"/>
    <w:rsid w:val="4BDEEE4A"/>
    <w:rsid w:val="4E90D6E9"/>
    <w:rsid w:val="4FBB9CA4"/>
    <w:rsid w:val="5183057C"/>
    <w:rsid w:val="59D7CBEF"/>
    <w:rsid w:val="5A2E03B5"/>
    <w:rsid w:val="5AEA0B21"/>
    <w:rsid w:val="5B866CF9"/>
    <w:rsid w:val="6045FF2A"/>
    <w:rsid w:val="606BA88A"/>
    <w:rsid w:val="6683204B"/>
    <w:rsid w:val="6AE4134A"/>
    <w:rsid w:val="6ECA4E6C"/>
    <w:rsid w:val="6FDC70F2"/>
    <w:rsid w:val="70CB348F"/>
    <w:rsid w:val="70F3ED93"/>
    <w:rsid w:val="713C8452"/>
    <w:rsid w:val="7375109A"/>
    <w:rsid w:val="746A13AE"/>
    <w:rsid w:val="7680BD6C"/>
    <w:rsid w:val="779B2FD1"/>
    <w:rsid w:val="77AF182F"/>
    <w:rsid w:val="7DD881FD"/>
    <w:rsid w:val="7ED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CF069"/>
  <w14:defaultImageDpi w14:val="300"/>
  <w15:docId w15:val="{2B51CCE3-C39C-4744-9A63-186A3ABC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6813A0F2-DF57-4491-9A71-6A35D42F0F89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88B7FF-F30A-4BBA-9BA4-BCCD83F9B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4A073-7AFF-44AA-AE48-E92815D968BE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8</revision>
  <dcterms:created xsi:type="dcterms:W3CDTF">2025-07-29T12:28:00.0000000Z</dcterms:created>
  <dcterms:modified xsi:type="dcterms:W3CDTF">2026-05-01T09:40:37.0468233Z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