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DF2" w:rsidP="24924CEA" w:rsidRDefault="00ED5175" w14:paraId="1900A19D" w14:textId="77777777">
      <w:pPr>
        <w:pStyle w:val="Title"/>
        <w:rPr>
          <w:rFonts w:ascii="Arial" w:hAnsi="Arial" w:eastAsia="Arial" w:cs="Arial"/>
        </w:rPr>
      </w:pPr>
      <w:r w:rsidRPr="3886FCF2">
        <w:rPr>
          <w:rFonts w:ascii="Arial" w:hAnsi="Arial" w:eastAsia="Arial" w:cs="Arial"/>
        </w:rPr>
        <w:t>Equality, Diversity, and Inclusion (EDI) Policy</w:t>
      </w:r>
    </w:p>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205"/>
        <w:gridCol w:w="1830"/>
        <w:gridCol w:w="2160"/>
        <w:gridCol w:w="2505"/>
      </w:tblGrid>
      <w:tr w:rsidR="24924CEA" w:rsidTr="741EE1FC" w14:paraId="35176976" w14:textId="77777777">
        <w:trPr>
          <w:trHeight w:val="285"/>
        </w:trPr>
        <w:tc>
          <w:tcPr>
            <w:tcW w:w="22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24924CEA" w:rsidP="24924CEA" w:rsidRDefault="24924CEA" w14:paraId="1DDF7168" w14:textId="5C261D4F">
            <w:pPr>
              <w:spacing w:after="0"/>
              <w:jc w:val="center"/>
              <w:rPr>
                <w:rFonts w:ascii="Arial" w:hAnsi="Arial" w:eastAsia="Arial" w:cs="Arial"/>
              </w:rPr>
            </w:pPr>
            <w:r w:rsidRPr="24924CEA">
              <w:rPr>
                <w:rFonts w:ascii="Arial" w:hAnsi="Arial" w:eastAsia="Arial" w:cs="Arial"/>
                <w:b/>
                <w:bCs/>
              </w:rPr>
              <w:t>Policy Number</w:t>
            </w:r>
          </w:p>
        </w:tc>
        <w:tc>
          <w:tcPr>
            <w:tcW w:w="183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24924CEA" w:rsidP="24924CEA" w:rsidRDefault="24924CEA" w14:paraId="50ADB468" w14:textId="043BCD83">
            <w:pPr>
              <w:spacing w:after="0"/>
              <w:jc w:val="center"/>
              <w:rPr>
                <w:rFonts w:ascii="Arial" w:hAnsi="Arial" w:eastAsia="Arial" w:cs="Arial"/>
              </w:rPr>
            </w:pPr>
            <w:r w:rsidRPr="24924CEA">
              <w:rPr>
                <w:rFonts w:ascii="Arial" w:hAnsi="Arial" w:eastAsia="Arial" w:cs="Arial"/>
                <w:b/>
                <w:bCs/>
              </w:rPr>
              <w:t>Version</w:t>
            </w:r>
          </w:p>
        </w:tc>
        <w:tc>
          <w:tcPr>
            <w:tcW w:w="21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24924CEA" w:rsidP="24924CEA" w:rsidRDefault="24924CEA" w14:paraId="2E9C2DEA" w14:textId="6396F105">
            <w:pPr>
              <w:spacing w:after="0"/>
              <w:jc w:val="center"/>
              <w:rPr>
                <w:rFonts w:ascii="Arial" w:hAnsi="Arial" w:eastAsia="Arial" w:cs="Arial"/>
              </w:rPr>
            </w:pPr>
            <w:r w:rsidRPr="24924CEA">
              <w:rPr>
                <w:rFonts w:ascii="Arial" w:hAnsi="Arial" w:eastAsia="Arial" w:cs="Arial"/>
                <w:b/>
                <w:bCs/>
              </w:rPr>
              <w:t>Issue Date</w:t>
            </w:r>
          </w:p>
        </w:tc>
        <w:tc>
          <w:tcPr>
            <w:tcW w:w="25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24924CEA" w:rsidP="24924CEA" w:rsidRDefault="24924CEA" w14:paraId="76C2F48E" w14:textId="258F30D6">
            <w:pPr>
              <w:spacing w:after="0"/>
              <w:jc w:val="center"/>
              <w:rPr>
                <w:rFonts w:ascii="Arial" w:hAnsi="Arial" w:eastAsia="Arial" w:cs="Arial"/>
              </w:rPr>
            </w:pPr>
            <w:r w:rsidRPr="24924CEA">
              <w:rPr>
                <w:rFonts w:ascii="Arial" w:hAnsi="Arial" w:eastAsia="Arial" w:cs="Arial"/>
                <w:b/>
                <w:bCs/>
              </w:rPr>
              <w:t>Review Date</w:t>
            </w:r>
          </w:p>
        </w:tc>
      </w:tr>
      <w:tr w:rsidR="24924CEA" w:rsidTr="741EE1FC" w14:paraId="0174A52B" w14:textId="77777777">
        <w:trPr>
          <w:trHeight w:val="285"/>
        </w:trPr>
        <w:tc>
          <w:tcPr>
            <w:tcW w:w="22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24924CEA" w:rsidP="24924CEA" w:rsidRDefault="24924CEA" w14:paraId="715DCFF3" w14:textId="0D3E1D28">
            <w:pPr>
              <w:spacing w:after="0"/>
              <w:rPr>
                <w:rFonts w:ascii="Arial" w:hAnsi="Arial" w:eastAsia="Arial" w:cs="Arial"/>
              </w:rPr>
            </w:pPr>
            <w:r w:rsidRPr="6A052809" w:rsidR="24924CEA">
              <w:rPr>
                <w:rFonts w:ascii="Arial" w:hAnsi="Arial" w:eastAsia="Arial" w:cs="Arial"/>
              </w:rPr>
              <w:t>G2T-PMO-03.02.</w:t>
            </w:r>
            <w:r w:rsidRPr="6A052809" w:rsidR="0FB3424D">
              <w:rPr>
                <w:rFonts w:ascii="Arial" w:hAnsi="Arial" w:eastAsia="Arial" w:cs="Arial"/>
              </w:rPr>
              <w:t>68</w:t>
            </w:r>
          </w:p>
        </w:tc>
        <w:tc>
          <w:tcPr>
            <w:tcW w:w="183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24924CEA" w:rsidP="24924CEA" w:rsidRDefault="24924CEA" w14:paraId="036D8516" w14:textId="4824EF82">
            <w:pPr>
              <w:spacing w:after="0"/>
              <w:rPr>
                <w:rFonts w:ascii="Arial" w:hAnsi="Arial" w:eastAsia="Arial" w:cs="Arial"/>
              </w:rPr>
            </w:pPr>
            <w:r w:rsidRPr="4972F970" w:rsidR="7298EC44">
              <w:rPr>
                <w:rFonts w:ascii="Arial" w:hAnsi="Arial" w:eastAsia="Arial" w:cs="Arial"/>
              </w:rPr>
              <w:t>2</w:t>
            </w:r>
            <w:r w:rsidRPr="4972F970" w:rsidR="24924CEA">
              <w:rPr>
                <w:rFonts w:ascii="Arial" w:hAnsi="Arial" w:eastAsia="Arial" w:cs="Arial"/>
              </w:rPr>
              <w:t>.1</w:t>
            </w:r>
          </w:p>
        </w:tc>
        <w:tc>
          <w:tcPr>
            <w:tcW w:w="21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24924CEA" w:rsidP="24924CEA" w:rsidRDefault="24924CEA" w14:paraId="58C773AC" w14:textId="5EE48EEE">
            <w:pPr>
              <w:spacing w:after="0"/>
              <w:rPr>
                <w:rFonts w:ascii="Arial" w:hAnsi="Arial" w:eastAsia="Arial" w:cs="Arial"/>
              </w:rPr>
            </w:pPr>
            <w:r w:rsidRPr="4972F970" w:rsidR="393AFF20">
              <w:rPr>
                <w:rFonts w:ascii="Arial" w:hAnsi="Arial" w:eastAsia="Arial" w:cs="Arial"/>
              </w:rPr>
              <w:t>23.04.2026</w:t>
            </w:r>
          </w:p>
        </w:tc>
        <w:tc>
          <w:tcPr>
            <w:tcW w:w="25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24924CEA" w:rsidP="4972F970" w:rsidRDefault="24924CEA" w14:paraId="5AF17466" w14:textId="6953CE1A">
            <w:pPr>
              <w:pStyle w:val="Normal"/>
              <w:suppressLineNumbers w:val="0"/>
              <w:bidi w:val="0"/>
              <w:spacing w:before="0" w:beforeAutospacing="off" w:after="0" w:afterAutospacing="off" w:line="276" w:lineRule="auto"/>
              <w:ind w:left="0" w:right="0"/>
              <w:jc w:val="left"/>
            </w:pPr>
            <w:r w:rsidRPr="741EE1FC" w:rsidR="393AFF20">
              <w:rPr>
                <w:rFonts w:ascii="Arial" w:hAnsi="Arial" w:eastAsia="Arial" w:cs="Arial"/>
              </w:rPr>
              <w:t>2</w:t>
            </w:r>
            <w:r w:rsidRPr="741EE1FC" w:rsidR="5A00C049">
              <w:rPr>
                <w:rFonts w:ascii="Arial" w:hAnsi="Arial" w:eastAsia="Arial" w:cs="Arial"/>
              </w:rPr>
              <w:t>6</w:t>
            </w:r>
            <w:r w:rsidRPr="741EE1FC" w:rsidR="393AFF20">
              <w:rPr>
                <w:rFonts w:ascii="Arial" w:hAnsi="Arial" w:eastAsia="Arial" w:cs="Arial"/>
              </w:rPr>
              <w:t>.0</w:t>
            </w:r>
            <w:r w:rsidRPr="741EE1FC" w:rsidR="65CF449E">
              <w:rPr>
                <w:rFonts w:ascii="Arial" w:hAnsi="Arial" w:eastAsia="Arial" w:cs="Arial"/>
              </w:rPr>
              <w:t>8</w:t>
            </w:r>
            <w:r w:rsidRPr="741EE1FC" w:rsidR="393AFF20">
              <w:rPr>
                <w:rFonts w:ascii="Arial" w:hAnsi="Arial" w:eastAsia="Arial" w:cs="Arial"/>
              </w:rPr>
              <w:t>.2026</w:t>
            </w:r>
          </w:p>
        </w:tc>
      </w:tr>
    </w:tbl>
    <w:p w:rsidR="00F14DF2" w:rsidP="24924CEA" w:rsidRDefault="79AEFAB3" w14:paraId="4B39CDAC" w14:textId="2B1B6008">
      <w:pPr>
        <w:spacing w:before="240" w:after="240"/>
        <w:rPr>
          <w:rFonts w:ascii="Arial" w:hAnsi="Arial" w:eastAsia="Arial" w:cs="Arial"/>
        </w:rPr>
      </w:pPr>
      <w:r w:rsidRPr="6A052809" w:rsidR="79AEFAB3">
        <w:rPr>
          <w:rFonts w:ascii="Arial" w:hAnsi="Arial" w:eastAsia="Arial" w:cs="Arial"/>
          <w:b w:val="1"/>
          <w:bCs w:val="1"/>
          <w:color w:val="000000" w:themeColor="text1" w:themeTint="FF" w:themeShade="FF"/>
        </w:rPr>
        <w:t>Approved By:</w:t>
      </w:r>
      <w:r w:rsidRPr="6A052809" w:rsidR="79AEFAB3">
        <w:rPr>
          <w:rFonts w:ascii="Arial" w:hAnsi="Arial" w:eastAsia="Arial" w:cs="Arial"/>
          <w:color w:val="000000" w:themeColor="text1" w:themeTint="FF" w:themeShade="FF"/>
        </w:rPr>
        <w:t xml:space="preserve"> </w:t>
      </w:r>
      <w:r w:rsidRPr="6A052809" w:rsidR="64D27347">
        <w:rPr>
          <w:rFonts w:ascii="Arial" w:hAnsi="Arial" w:eastAsia="Arial" w:cs="Arial"/>
          <w:color w:val="000000" w:themeColor="text1" w:themeTint="FF" w:themeShade="FF"/>
        </w:rPr>
        <w:t>Course Manager</w:t>
      </w:r>
      <w:r>
        <w:br/>
      </w:r>
      <w:r w:rsidRPr="6A052809" w:rsidR="79AEFAB3">
        <w:rPr>
          <w:rFonts w:ascii="Arial" w:hAnsi="Arial" w:eastAsia="Arial" w:cs="Arial"/>
          <w:b w:val="1"/>
          <w:bCs w:val="1"/>
          <w:color w:val="000000" w:themeColor="text1" w:themeTint="FF" w:themeShade="FF"/>
        </w:rPr>
        <w:t>Owner:</w:t>
      </w:r>
      <w:r w:rsidRPr="6A052809" w:rsidR="79AEFAB3">
        <w:rPr>
          <w:rFonts w:ascii="Arial" w:hAnsi="Arial" w:eastAsia="Arial" w:cs="Arial"/>
          <w:color w:val="000000" w:themeColor="text1" w:themeTint="FF" w:themeShade="FF"/>
        </w:rPr>
        <w:t xml:space="preserve"> </w:t>
      </w:r>
      <w:r w:rsidRPr="6A052809" w:rsidR="176C16DC">
        <w:rPr>
          <w:rFonts w:ascii="Arial" w:hAnsi="Arial" w:eastAsia="Arial" w:cs="Arial"/>
          <w:color w:val="000000" w:themeColor="text1" w:themeTint="FF" w:themeShade="FF"/>
        </w:rPr>
        <w:t xml:space="preserve">Managing </w:t>
      </w:r>
      <w:r w:rsidRPr="6A052809" w:rsidR="79AEFAB3">
        <w:rPr>
          <w:rFonts w:ascii="Arial" w:hAnsi="Arial" w:eastAsia="Arial" w:cs="Arial"/>
          <w:color w:val="000000" w:themeColor="text1" w:themeTint="FF" w:themeShade="FF"/>
        </w:rPr>
        <w:t>Director [Compliance Lead]</w:t>
      </w:r>
      <w:r w:rsidRPr="6A052809" w:rsidR="79AEFAB3">
        <w:rPr>
          <w:rFonts w:ascii="Arial" w:hAnsi="Arial" w:eastAsia="Arial" w:cs="Arial"/>
        </w:rPr>
        <w:t xml:space="preserve"> </w:t>
      </w:r>
    </w:p>
    <w:p w:rsidR="00F14DF2" w:rsidP="24924CEA" w:rsidRDefault="00ED5175" w14:paraId="196A267D" w14:textId="36722E57">
      <w:pPr>
        <w:pStyle w:val="Heading2"/>
        <w:rPr>
          <w:rFonts w:ascii="Arial" w:hAnsi="Arial" w:eastAsia="Arial" w:cs="Arial"/>
        </w:rPr>
      </w:pPr>
      <w:r w:rsidRPr="24924CEA">
        <w:rPr>
          <w:rFonts w:ascii="Arial" w:hAnsi="Arial" w:eastAsia="Arial" w:cs="Arial"/>
        </w:rPr>
        <w:t>1. Policy Statement</w:t>
      </w:r>
    </w:p>
    <w:p w:rsidR="00F14DF2" w:rsidP="24924CEA" w:rsidRDefault="00ED5175" w14:paraId="18534CD9" w14:textId="0E1C2B11">
      <w:pPr>
        <w:rPr>
          <w:rFonts w:ascii="Arial" w:hAnsi="Arial" w:eastAsia="Arial" w:cs="Arial"/>
        </w:rPr>
      </w:pPr>
      <w:r w:rsidRPr="7B678BCD" w:rsidR="00ED5175">
        <w:rPr>
          <w:rFonts w:ascii="Arial" w:hAnsi="Arial" w:eastAsia="Arial" w:cs="Arial"/>
        </w:rPr>
        <w:t>Grad2Teach is fully committed to promoting equality, diversity, and inclusion (EDI) across all aspects of our provision. This policy outlines our commitment to creating an inclusive environment in which every individual is valued, respected, and supported to reach their full potential, regardless of their background, identity, or circumstances.</w:t>
      </w:r>
      <w:r>
        <w:br/>
      </w:r>
      <w:r>
        <w:br/>
      </w:r>
      <w:r w:rsidRPr="7B678BCD" w:rsidR="00ED5175">
        <w:rPr>
          <w:rFonts w:ascii="Arial" w:hAnsi="Arial" w:eastAsia="Arial" w:cs="Arial"/>
        </w:rPr>
        <w:t xml:space="preserve">This policy has been developed with reference to the Equality Act 2010, </w:t>
      </w:r>
      <w:r w:rsidRPr="7B678BCD" w:rsidR="00ED5175">
        <w:rPr>
          <w:rFonts w:ascii="Arial" w:hAnsi="Arial" w:eastAsia="Arial" w:cs="Arial"/>
        </w:rPr>
        <w:t>Ofqual's</w:t>
      </w:r>
      <w:r w:rsidRPr="7B678BCD" w:rsidR="00ED5175">
        <w:rPr>
          <w:rFonts w:ascii="Arial" w:hAnsi="Arial" w:eastAsia="Arial" w:cs="Arial"/>
        </w:rPr>
        <w:t xml:space="preserve"> General Conditions of Recognition, and NCFE </w:t>
      </w:r>
      <w:r w:rsidRPr="7B678BCD" w:rsidR="00ED5175">
        <w:rPr>
          <w:rFonts w:ascii="Arial" w:hAnsi="Arial" w:eastAsia="Arial" w:cs="Arial"/>
        </w:rPr>
        <w:t>Customised</w:t>
      </w:r>
      <w:r w:rsidRPr="7B678BCD" w:rsidR="00ED5175">
        <w:rPr>
          <w:rFonts w:ascii="Arial" w:hAnsi="Arial" w:eastAsia="Arial" w:cs="Arial"/>
        </w:rPr>
        <w:t xml:space="preserve"> Qualification Approval Criteria. We aim not only to meet statutory and regulatory obligations, but to exceed them in line with our mission to foster a more </w:t>
      </w:r>
      <w:r w:rsidRPr="7B678BCD" w:rsidR="00ED5175">
        <w:rPr>
          <w:rFonts w:ascii="Arial" w:hAnsi="Arial" w:eastAsia="Arial" w:cs="Arial"/>
        </w:rPr>
        <w:t>equitable</w:t>
      </w:r>
      <w:r w:rsidRPr="7B678BCD" w:rsidR="00ED5175">
        <w:rPr>
          <w:rFonts w:ascii="Arial" w:hAnsi="Arial" w:eastAsia="Arial" w:cs="Arial"/>
        </w:rPr>
        <w:t xml:space="preserve"> </w:t>
      </w:r>
      <w:r w:rsidRPr="7B678BCD" w:rsidR="6965F9D4">
        <w:rPr>
          <w:rFonts w:ascii="Arial" w:hAnsi="Arial" w:eastAsia="Arial" w:cs="Arial"/>
        </w:rPr>
        <w:t xml:space="preserve">workforce in the </w:t>
      </w:r>
      <w:r w:rsidRPr="7B678BCD" w:rsidR="00ED5175">
        <w:rPr>
          <w:rFonts w:ascii="Arial" w:hAnsi="Arial" w:eastAsia="Arial" w:cs="Arial"/>
        </w:rPr>
        <w:t xml:space="preserve">education </w:t>
      </w:r>
      <w:r w:rsidRPr="7B678BCD" w:rsidR="40341C79">
        <w:rPr>
          <w:rFonts w:ascii="Arial" w:hAnsi="Arial" w:eastAsia="Arial" w:cs="Arial"/>
        </w:rPr>
        <w:t>sector</w:t>
      </w:r>
      <w:r w:rsidRPr="7B678BCD" w:rsidR="00ED5175">
        <w:rPr>
          <w:rFonts w:ascii="Arial" w:hAnsi="Arial" w:eastAsia="Arial" w:cs="Arial"/>
        </w:rPr>
        <w:t>.</w:t>
      </w:r>
    </w:p>
    <w:p w:rsidR="00F14DF2" w:rsidP="24924CEA" w:rsidRDefault="00ED5175" w14:paraId="4EB7E697" w14:textId="77777777">
      <w:pPr>
        <w:pStyle w:val="Heading2"/>
        <w:rPr>
          <w:rFonts w:ascii="Arial" w:hAnsi="Arial" w:eastAsia="Arial" w:cs="Arial"/>
        </w:rPr>
      </w:pPr>
      <w:r w:rsidRPr="24924CEA">
        <w:rPr>
          <w:rFonts w:ascii="Arial" w:hAnsi="Arial" w:eastAsia="Arial" w:cs="Arial"/>
        </w:rPr>
        <w:t>2. Scope and Purpose</w:t>
      </w:r>
    </w:p>
    <w:p w:rsidR="00ED5175" w:rsidP="24924CEA" w:rsidRDefault="00ED5175" w14:paraId="62DD0488" w14:textId="2F3F3FC1">
      <w:pPr>
        <w:rPr>
          <w:rFonts w:ascii="Arial" w:hAnsi="Arial" w:eastAsia="Arial" w:cs="Arial"/>
        </w:rPr>
      </w:pPr>
      <w:r w:rsidRPr="24924CEA">
        <w:rPr>
          <w:rFonts w:ascii="Arial" w:hAnsi="Arial" w:eastAsia="Arial" w:cs="Arial"/>
        </w:rPr>
        <w:t>This policy applies to all:</w:t>
      </w:r>
    </w:p>
    <w:p w:rsidR="00ED5175" w:rsidP="24924CEA" w:rsidRDefault="00ED5175" w14:paraId="12C3458A" w14:textId="77777777">
      <w:pPr>
        <w:pStyle w:val="ListParagraph"/>
        <w:numPr>
          <w:ilvl w:val="0"/>
          <w:numId w:val="12"/>
        </w:numPr>
        <w:rPr>
          <w:rFonts w:ascii="Arial" w:hAnsi="Arial" w:eastAsia="Arial" w:cs="Arial"/>
        </w:rPr>
      </w:pPr>
      <w:r w:rsidRPr="24924CEA">
        <w:rPr>
          <w:rFonts w:ascii="Arial" w:hAnsi="Arial" w:eastAsia="Arial" w:cs="Arial"/>
        </w:rPr>
        <w:t>Employees</w:t>
      </w:r>
    </w:p>
    <w:p w:rsidR="00ED5175" w:rsidP="24924CEA" w:rsidRDefault="00ED5175" w14:paraId="2E944F0E" w14:textId="77777777">
      <w:pPr>
        <w:pStyle w:val="ListParagraph"/>
        <w:numPr>
          <w:ilvl w:val="0"/>
          <w:numId w:val="12"/>
        </w:numPr>
        <w:rPr>
          <w:rFonts w:ascii="Arial" w:hAnsi="Arial" w:eastAsia="Arial" w:cs="Arial"/>
        </w:rPr>
      </w:pPr>
      <w:r w:rsidRPr="24924CEA">
        <w:rPr>
          <w:rFonts w:ascii="Arial" w:hAnsi="Arial" w:eastAsia="Arial" w:cs="Arial"/>
        </w:rPr>
        <w:t>Trainee teachers and learners</w:t>
      </w:r>
    </w:p>
    <w:p w:rsidR="00ED5175" w:rsidP="24924CEA" w:rsidRDefault="00ED5175" w14:paraId="2AC902C9" w14:textId="77777777">
      <w:pPr>
        <w:pStyle w:val="ListParagraph"/>
        <w:numPr>
          <w:ilvl w:val="0"/>
          <w:numId w:val="12"/>
        </w:numPr>
        <w:rPr>
          <w:rFonts w:ascii="Arial" w:hAnsi="Arial" w:eastAsia="Arial" w:cs="Arial"/>
        </w:rPr>
      </w:pPr>
      <w:r w:rsidRPr="24924CEA">
        <w:rPr>
          <w:rFonts w:ascii="Arial" w:hAnsi="Arial" w:eastAsia="Arial" w:cs="Arial"/>
        </w:rPr>
        <w:t>Partner schools</w:t>
      </w:r>
    </w:p>
    <w:p w:rsidR="00ED5175" w:rsidP="24924CEA" w:rsidRDefault="00ED5175" w14:paraId="240D60ED" w14:textId="77777777">
      <w:pPr>
        <w:pStyle w:val="ListParagraph"/>
        <w:numPr>
          <w:ilvl w:val="0"/>
          <w:numId w:val="12"/>
        </w:numPr>
        <w:rPr>
          <w:rFonts w:ascii="Arial" w:hAnsi="Arial" w:eastAsia="Arial" w:cs="Arial"/>
        </w:rPr>
      </w:pPr>
      <w:r w:rsidRPr="24924CEA">
        <w:rPr>
          <w:rFonts w:ascii="Arial" w:hAnsi="Arial" w:eastAsia="Arial" w:cs="Arial"/>
        </w:rPr>
        <w:t>Third-party contractors and training providers</w:t>
      </w:r>
    </w:p>
    <w:p w:rsidR="00ED5175" w:rsidP="24924CEA" w:rsidRDefault="00ED5175" w14:paraId="68260863" w14:textId="77777777">
      <w:pPr>
        <w:pStyle w:val="ListParagraph"/>
        <w:numPr>
          <w:ilvl w:val="0"/>
          <w:numId w:val="12"/>
        </w:numPr>
        <w:rPr>
          <w:rFonts w:ascii="Arial" w:hAnsi="Arial" w:eastAsia="Arial" w:cs="Arial"/>
        </w:rPr>
      </w:pPr>
      <w:r w:rsidRPr="24924CEA">
        <w:rPr>
          <w:rFonts w:ascii="Arial" w:hAnsi="Arial" w:eastAsia="Arial" w:cs="Arial"/>
        </w:rPr>
        <w:t>Visitors and stakeholders</w:t>
      </w:r>
    </w:p>
    <w:p w:rsidR="00ED5175" w:rsidP="24924CEA" w:rsidRDefault="00ED5175" w14:paraId="02427DE0" w14:textId="42AFAA30">
      <w:pPr>
        <w:rPr>
          <w:rFonts w:ascii="Arial" w:hAnsi="Arial" w:eastAsia="Arial" w:cs="Arial"/>
        </w:rPr>
      </w:pPr>
      <w:r w:rsidRPr="24924CEA">
        <w:rPr>
          <w:rFonts w:ascii="Arial" w:hAnsi="Arial" w:eastAsia="Arial" w:cs="Arial"/>
        </w:rPr>
        <w:t>It covers all aspects of our operations, including but not limited to:</w:t>
      </w:r>
    </w:p>
    <w:p w:rsidR="00ED5175" w:rsidP="24924CEA" w:rsidRDefault="00ED5175" w14:paraId="31ECF38F" w14:textId="77777777">
      <w:pPr>
        <w:pStyle w:val="ListParagraph"/>
        <w:numPr>
          <w:ilvl w:val="0"/>
          <w:numId w:val="13"/>
        </w:numPr>
        <w:rPr>
          <w:rFonts w:ascii="Arial" w:hAnsi="Arial" w:eastAsia="Arial" w:cs="Arial"/>
        </w:rPr>
      </w:pPr>
      <w:r w:rsidRPr="24924CEA">
        <w:rPr>
          <w:rFonts w:ascii="Arial" w:hAnsi="Arial" w:eastAsia="Arial" w:cs="Arial"/>
        </w:rPr>
        <w:t>Recruitment and admissions</w:t>
      </w:r>
    </w:p>
    <w:p w:rsidR="00ED5175" w:rsidP="24924CEA" w:rsidRDefault="00ED5175" w14:paraId="3BB49552" w14:textId="77777777">
      <w:pPr>
        <w:pStyle w:val="ListParagraph"/>
        <w:numPr>
          <w:ilvl w:val="0"/>
          <w:numId w:val="13"/>
        </w:numPr>
        <w:rPr>
          <w:rFonts w:ascii="Arial" w:hAnsi="Arial" w:eastAsia="Arial" w:cs="Arial"/>
        </w:rPr>
      </w:pPr>
      <w:r w:rsidRPr="24924CEA">
        <w:rPr>
          <w:rFonts w:ascii="Arial" w:hAnsi="Arial" w:eastAsia="Arial" w:cs="Arial"/>
        </w:rPr>
        <w:t>Assessment and qualification delivery</w:t>
      </w:r>
    </w:p>
    <w:p w:rsidR="00ED5175" w:rsidP="24924CEA" w:rsidRDefault="00ED5175" w14:paraId="2AB4259D" w14:textId="77777777">
      <w:pPr>
        <w:pStyle w:val="ListParagraph"/>
        <w:numPr>
          <w:ilvl w:val="0"/>
          <w:numId w:val="13"/>
        </w:numPr>
        <w:rPr>
          <w:rFonts w:ascii="Arial" w:hAnsi="Arial" w:eastAsia="Arial" w:cs="Arial"/>
        </w:rPr>
      </w:pPr>
      <w:r w:rsidRPr="24924CEA">
        <w:rPr>
          <w:rFonts w:ascii="Arial" w:hAnsi="Arial" w:eastAsia="Arial" w:cs="Arial"/>
        </w:rPr>
        <w:t>Employment practices</w:t>
      </w:r>
    </w:p>
    <w:p w:rsidR="00ED5175" w:rsidP="24924CEA" w:rsidRDefault="00ED5175" w14:paraId="2245B934" w14:textId="77777777">
      <w:pPr>
        <w:pStyle w:val="ListParagraph"/>
        <w:numPr>
          <w:ilvl w:val="0"/>
          <w:numId w:val="13"/>
        </w:numPr>
        <w:rPr>
          <w:rFonts w:ascii="Arial" w:hAnsi="Arial" w:eastAsia="Arial" w:cs="Arial"/>
        </w:rPr>
      </w:pPr>
      <w:r w:rsidRPr="24924CEA">
        <w:rPr>
          <w:rFonts w:ascii="Arial" w:hAnsi="Arial" w:eastAsia="Arial" w:cs="Arial"/>
        </w:rPr>
        <w:t>Teaching and learning</w:t>
      </w:r>
    </w:p>
    <w:p w:rsidR="00F14DF2" w:rsidP="24924CEA" w:rsidRDefault="00ED5175" w14:paraId="00160CD2" w14:textId="7776C3E2">
      <w:pPr>
        <w:pStyle w:val="ListParagraph"/>
        <w:numPr>
          <w:ilvl w:val="0"/>
          <w:numId w:val="13"/>
        </w:numPr>
        <w:rPr>
          <w:rFonts w:ascii="Arial" w:hAnsi="Arial" w:eastAsia="Arial" w:cs="Arial"/>
        </w:rPr>
      </w:pPr>
      <w:r w:rsidRPr="24924CEA">
        <w:rPr>
          <w:rFonts w:ascii="Arial" w:hAnsi="Arial" w:eastAsia="Arial" w:cs="Arial"/>
        </w:rPr>
        <w:t>Complaints and appeals</w:t>
      </w:r>
    </w:p>
    <w:p w:rsidR="00F14DF2" w:rsidP="24924CEA" w:rsidRDefault="00ED5175" w14:paraId="68F67F39" w14:textId="77777777">
      <w:pPr>
        <w:pStyle w:val="Heading2"/>
        <w:rPr>
          <w:rFonts w:ascii="Arial" w:hAnsi="Arial" w:eastAsia="Arial" w:cs="Arial"/>
        </w:rPr>
      </w:pPr>
      <w:r w:rsidRPr="24924CEA">
        <w:rPr>
          <w:rFonts w:ascii="Arial" w:hAnsi="Arial" w:eastAsia="Arial" w:cs="Arial"/>
        </w:rPr>
        <w:lastRenderedPageBreak/>
        <w:t>3. Our Commitments</w:t>
      </w:r>
    </w:p>
    <w:p w:rsidR="00ED5175" w:rsidP="24924CEA" w:rsidRDefault="00ED5175" w14:paraId="23E7C4C5" w14:textId="0A348D52">
      <w:pPr>
        <w:rPr>
          <w:rFonts w:ascii="Arial" w:hAnsi="Arial" w:eastAsia="Arial" w:cs="Arial"/>
        </w:rPr>
      </w:pPr>
      <w:r w:rsidRPr="24924CEA">
        <w:rPr>
          <w:rFonts w:ascii="Arial" w:hAnsi="Arial" w:eastAsia="Arial" w:cs="Arial"/>
        </w:rPr>
        <w:t>a. Promoting Inclusive Practice:</w:t>
      </w:r>
    </w:p>
    <w:p w:rsidR="00ED5175" w:rsidP="24924CEA" w:rsidRDefault="00ED5175" w14:paraId="50F57F0F" w14:textId="77777777">
      <w:pPr>
        <w:pStyle w:val="ListParagraph"/>
        <w:numPr>
          <w:ilvl w:val="0"/>
          <w:numId w:val="14"/>
        </w:numPr>
        <w:rPr>
          <w:rFonts w:ascii="Arial" w:hAnsi="Arial" w:eastAsia="Arial" w:cs="Arial"/>
        </w:rPr>
      </w:pPr>
      <w:r w:rsidRPr="24924CEA">
        <w:rPr>
          <w:rFonts w:ascii="Arial" w:hAnsi="Arial" w:eastAsia="Arial" w:cs="Arial"/>
        </w:rPr>
        <w:t xml:space="preserve">Foster an </w:t>
      </w:r>
      <w:proofErr w:type="spellStart"/>
      <w:r w:rsidRPr="24924CEA">
        <w:rPr>
          <w:rFonts w:ascii="Arial" w:hAnsi="Arial" w:eastAsia="Arial" w:cs="Arial"/>
        </w:rPr>
        <w:t>organisational</w:t>
      </w:r>
      <w:proofErr w:type="spellEnd"/>
      <w:r w:rsidRPr="24924CEA">
        <w:rPr>
          <w:rFonts w:ascii="Arial" w:hAnsi="Arial" w:eastAsia="Arial" w:cs="Arial"/>
        </w:rPr>
        <w:t xml:space="preserve"> culture that is respectful, inclusive, and free from discrimination.</w:t>
      </w:r>
    </w:p>
    <w:p w:rsidR="00ED5175" w:rsidP="24924CEA" w:rsidRDefault="00ED5175" w14:paraId="5522F90C" w14:textId="77777777">
      <w:pPr>
        <w:pStyle w:val="ListParagraph"/>
        <w:numPr>
          <w:ilvl w:val="0"/>
          <w:numId w:val="14"/>
        </w:numPr>
        <w:rPr>
          <w:rFonts w:ascii="Arial" w:hAnsi="Arial" w:eastAsia="Arial" w:cs="Arial"/>
        </w:rPr>
      </w:pPr>
      <w:r w:rsidRPr="24924CEA">
        <w:rPr>
          <w:rFonts w:ascii="Arial" w:hAnsi="Arial" w:eastAsia="Arial" w:cs="Arial"/>
        </w:rPr>
        <w:t>Ensure accessibility in all learning materials, assessments, and platforms.</w:t>
      </w:r>
    </w:p>
    <w:p w:rsidR="00ED5175" w:rsidP="24924CEA" w:rsidRDefault="00ED5175" w14:paraId="1E138221" w14:textId="77777777">
      <w:pPr>
        <w:pStyle w:val="ListParagraph"/>
        <w:numPr>
          <w:ilvl w:val="0"/>
          <w:numId w:val="14"/>
        </w:numPr>
        <w:rPr>
          <w:rFonts w:ascii="Arial" w:hAnsi="Arial" w:eastAsia="Arial" w:cs="Arial"/>
        </w:rPr>
      </w:pPr>
      <w:r w:rsidRPr="24924CEA">
        <w:rPr>
          <w:rFonts w:ascii="Arial" w:hAnsi="Arial" w:eastAsia="Arial" w:cs="Arial"/>
        </w:rPr>
        <w:t>Celebrate and value the diversity of our learners, staff, and partners.</w:t>
      </w:r>
    </w:p>
    <w:p w:rsidR="00ED5175" w:rsidP="24924CEA" w:rsidRDefault="00ED5175" w14:paraId="20988387" w14:textId="15FA9E3F">
      <w:pPr>
        <w:rPr>
          <w:rFonts w:ascii="Arial" w:hAnsi="Arial" w:eastAsia="Arial" w:cs="Arial"/>
        </w:rPr>
      </w:pPr>
      <w:r w:rsidRPr="24924CEA">
        <w:rPr>
          <w:rFonts w:ascii="Arial" w:hAnsi="Arial" w:eastAsia="Arial" w:cs="Arial"/>
        </w:rPr>
        <w:t>b. Preventing Discrimination:</w:t>
      </w:r>
    </w:p>
    <w:p w:rsidR="00ED5175" w:rsidP="24924CEA" w:rsidRDefault="00ED5175" w14:paraId="672BF623" w14:textId="77777777">
      <w:pPr>
        <w:pStyle w:val="ListParagraph"/>
        <w:numPr>
          <w:ilvl w:val="0"/>
          <w:numId w:val="15"/>
        </w:numPr>
        <w:rPr>
          <w:rFonts w:ascii="Arial" w:hAnsi="Arial" w:eastAsia="Arial" w:cs="Arial"/>
        </w:rPr>
      </w:pPr>
      <w:r w:rsidRPr="24924CEA">
        <w:rPr>
          <w:rFonts w:ascii="Arial" w:hAnsi="Arial" w:eastAsia="Arial" w:cs="Arial"/>
        </w:rPr>
        <w:t xml:space="preserve">Oppose all forms of unlawful and unfair discrimination including direct, indirect, associative, perceptive, and </w:t>
      </w:r>
      <w:proofErr w:type="spellStart"/>
      <w:r w:rsidRPr="24924CEA">
        <w:rPr>
          <w:rFonts w:ascii="Arial" w:hAnsi="Arial" w:eastAsia="Arial" w:cs="Arial"/>
        </w:rPr>
        <w:t>victimisation</w:t>
      </w:r>
      <w:proofErr w:type="spellEnd"/>
      <w:r w:rsidRPr="24924CEA">
        <w:rPr>
          <w:rFonts w:ascii="Arial" w:hAnsi="Arial" w:eastAsia="Arial" w:cs="Arial"/>
        </w:rPr>
        <w:t>.</w:t>
      </w:r>
    </w:p>
    <w:p w:rsidR="00ED5175" w:rsidP="24924CEA" w:rsidRDefault="00ED5175" w14:paraId="69206148" w14:textId="77777777">
      <w:pPr>
        <w:pStyle w:val="ListParagraph"/>
        <w:numPr>
          <w:ilvl w:val="0"/>
          <w:numId w:val="15"/>
        </w:numPr>
        <w:rPr>
          <w:rFonts w:ascii="Arial" w:hAnsi="Arial" w:eastAsia="Arial" w:cs="Arial"/>
        </w:rPr>
      </w:pPr>
      <w:r w:rsidRPr="24924CEA">
        <w:rPr>
          <w:rFonts w:ascii="Arial" w:hAnsi="Arial" w:eastAsia="Arial" w:cs="Arial"/>
        </w:rPr>
        <w:t>Uphold the protected characteristics under the Equality Act 2010:</w:t>
      </w:r>
    </w:p>
    <w:p w:rsidR="00ED5175" w:rsidP="24924CEA" w:rsidRDefault="00ED5175" w14:paraId="27A03D99" w14:textId="77777777">
      <w:pPr>
        <w:pStyle w:val="ListParagraph"/>
        <w:numPr>
          <w:ilvl w:val="0"/>
          <w:numId w:val="15"/>
        </w:numPr>
        <w:rPr>
          <w:rFonts w:ascii="Arial" w:hAnsi="Arial" w:eastAsia="Arial" w:cs="Arial"/>
        </w:rPr>
      </w:pPr>
      <w:r w:rsidRPr="24924CEA">
        <w:rPr>
          <w:rFonts w:ascii="Arial" w:hAnsi="Arial" w:eastAsia="Arial" w:cs="Arial"/>
        </w:rPr>
        <w:t>Age</w:t>
      </w:r>
    </w:p>
    <w:p w:rsidR="00ED5175" w:rsidP="24924CEA" w:rsidRDefault="00ED5175" w14:paraId="7BBC00AE" w14:textId="77777777">
      <w:pPr>
        <w:pStyle w:val="ListParagraph"/>
        <w:numPr>
          <w:ilvl w:val="0"/>
          <w:numId w:val="15"/>
        </w:numPr>
        <w:rPr>
          <w:rFonts w:ascii="Arial" w:hAnsi="Arial" w:eastAsia="Arial" w:cs="Arial"/>
        </w:rPr>
      </w:pPr>
      <w:r w:rsidRPr="24924CEA">
        <w:rPr>
          <w:rFonts w:ascii="Arial" w:hAnsi="Arial" w:eastAsia="Arial" w:cs="Arial"/>
        </w:rPr>
        <w:t>Disability</w:t>
      </w:r>
    </w:p>
    <w:p w:rsidR="00ED5175" w:rsidP="24924CEA" w:rsidRDefault="00ED5175" w14:paraId="10C0A027" w14:textId="77777777">
      <w:pPr>
        <w:pStyle w:val="ListParagraph"/>
        <w:numPr>
          <w:ilvl w:val="0"/>
          <w:numId w:val="15"/>
        </w:numPr>
        <w:rPr>
          <w:rFonts w:ascii="Arial" w:hAnsi="Arial" w:eastAsia="Arial" w:cs="Arial"/>
        </w:rPr>
      </w:pPr>
      <w:r w:rsidRPr="24924CEA">
        <w:rPr>
          <w:rFonts w:ascii="Arial" w:hAnsi="Arial" w:eastAsia="Arial" w:cs="Arial"/>
        </w:rPr>
        <w:t>Gender reassignment</w:t>
      </w:r>
    </w:p>
    <w:p w:rsidR="00ED5175" w:rsidP="24924CEA" w:rsidRDefault="00ED5175" w14:paraId="3EC1977C" w14:textId="77777777">
      <w:pPr>
        <w:pStyle w:val="ListParagraph"/>
        <w:numPr>
          <w:ilvl w:val="0"/>
          <w:numId w:val="15"/>
        </w:numPr>
        <w:rPr>
          <w:rFonts w:ascii="Arial" w:hAnsi="Arial" w:eastAsia="Arial" w:cs="Arial"/>
        </w:rPr>
      </w:pPr>
      <w:r w:rsidRPr="24924CEA">
        <w:rPr>
          <w:rFonts w:ascii="Arial" w:hAnsi="Arial" w:eastAsia="Arial" w:cs="Arial"/>
        </w:rPr>
        <w:t>Marriage and civil partnership</w:t>
      </w:r>
    </w:p>
    <w:p w:rsidR="00ED5175" w:rsidP="24924CEA" w:rsidRDefault="00ED5175" w14:paraId="4B5AD335" w14:textId="77777777">
      <w:pPr>
        <w:pStyle w:val="ListParagraph"/>
        <w:numPr>
          <w:ilvl w:val="0"/>
          <w:numId w:val="15"/>
        </w:numPr>
        <w:rPr>
          <w:rFonts w:ascii="Arial" w:hAnsi="Arial" w:eastAsia="Arial" w:cs="Arial"/>
        </w:rPr>
      </w:pPr>
      <w:r w:rsidRPr="24924CEA">
        <w:rPr>
          <w:rFonts w:ascii="Arial" w:hAnsi="Arial" w:eastAsia="Arial" w:cs="Arial"/>
        </w:rPr>
        <w:t>Pregnancy and maternity</w:t>
      </w:r>
    </w:p>
    <w:p w:rsidR="00ED5175" w:rsidP="24924CEA" w:rsidRDefault="00ED5175" w14:paraId="384BAEDF" w14:textId="77777777">
      <w:pPr>
        <w:pStyle w:val="ListParagraph"/>
        <w:numPr>
          <w:ilvl w:val="0"/>
          <w:numId w:val="15"/>
        </w:numPr>
        <w:rPr>
          <w:rFonts w:ascii="Arial" w:hAnsi="Arial" w:eastAsia="Arial" w:cs="Arial"/>
        </w:rPr>
      </w:pPr>
      <w:r w:rsidRPr="24924CEA">
        <w:rPr>
          <w:rFonts w:ascii="Arial" w:hAnsi="Arial" w:eastAsia="Arial" w:cs="Arial"/>
        </w:rPr>
        <w:t>Race</w:t>
      </w:r>
    </w:p>
    <w:p w:rsidR="00ED5175" w:rsidP="24924CEA" w:rsidRDefault="00ED5175" w14:paraId="3E95588D" w14:textId="77777777">
      <w:pPr>
        <w:pStyle w:val="ListParagraph"/>
        <w:numPr>
          <w:ilvl w:val="0"/>
          <w:numId w:val="15"/>
        </w:numPr>
        <w:rPr>
          <w:rFonts w:ascii="Arial" w:hAnsi="Arial" w:eastAsia="Arial" w:cs="Arial"/>
        </w:rPr>
      </w:pPr>
      <w:r w:rsidRPr="24924CEA">
        <w:rPr>
          <w:rFonts w:ascii="Arial" w:hAnsi="Arial" w:eastAsia="Arial" w:cs="Arial"/>
        </w:rPr>
        <w:t>Religion or belief</w:t>
      </w:r>
    </w:p>
    <w:p w:rsidR="00ED5175" w:rsidP="24924CEA" w:rsidRDefault="00ED5175" w14:paraId="06411156" w14:textId="77777777">
      <w:pPr>
        <w:pStyle w:val="ListParagraph"/>
        <w:numPr>
          <w:ilvl w:val="0"/>
          <w:numId w:val="15"/>
        </w:numPr>
        <w:rPr>
          <w:rFonts w:ascii="Arial" w:hAnsi="Arial" w:eastAsia="Arial" w:cs="Arial"/>
        </w:rPr>
      </w:pPr>
      <w:r w:rsidRPr="24924CEA">
        <w:rPr>
          <w:rFonts w:ascii="Arial" w:hAnsi="Arial" w:eastAsia="Arial" w:cs="Arial"/>
        </w:rPr>
        <w:t>Sex</w:t>
      </w:r>
    </w:p>
    <w:p w:rsidR="00ED5175" w:rsidP="24924CEA" w:rsidRDefault="00ED5175" w14:paraId="431DB0FF" w14:textId="77777777">
      <w:pPr>
        <w:pStyle w:val="ListParagraph"/>
        <w:numPr>
          <w:ilvl w:val="0"/>
          <w:numId w:val="15"/>
        </w:numPr>
        <w:rPr>
          <w:rFonts w:ascii="Arial" w:hAnsi="Arial" w:eastAsia="Arial" w:cs="Arial"/>
        </w:rPr>
      </w:pPr>
      <w:r w:rsidRPr="24924CEA">
        <w:rPr>
          <w:rFonts w:ascii="Arial" w:hAnsi="Arial" w:eastAsia="Arial" w:cs="Arial"/>
        </w:rPr>
        <w:t>Sexual orientation</w:t>
      </w:r>
    </w:p>
    <w:p w:rsidR="00ED5175" w:rsidP="24924CEA" w:rsidRDefault="00ED5175" w14:paraId="0FD48B56" w14:textId="056C72D3">
      <w:pPr>
        <w:rPr>
          <w:rFonts w:ascii="Arial" w:hAnsi="Arial" w:eastAsia="Arial" w:cs="Arial"/>
        </w:rPr>
      </w:pPr>
      <w:r w:rsidRPr="24924CEA">
        <w:rPr>
          <w:rFonts w:ascii="Arial" w:hAnsi="Arial" w:eastAsia="Arial" w:cs="Arial"/>
        </w:rPr>
        <w:t>c. Ensuring Fair Assessment and Access:</w:t>
      </w:r>
    </w:p>
    <w:p w:rsidR="00ED5175" w:rsidP="24924CEA" w:rsidRDefault="00ED5175" w14:paraId="6F75CF70" w14:textId="77777777">
      <w:pPr>
        <w:pStyle w:val="ListParagraph"/>
        <w:numPr>
          <w:ilvl w:val="0"/>
          <w:numId w:val="16"/>
        </w:numPr>
        <w:rPr>
          <w:rFonts w:ascii="Arial" w:hAnsi="Arial" w:eastAsia="Arial" w:cs="Arial"/>
        </w:rPr>
      </w:pPr>
      <w:r w:rsidRPr="24924CEA">
        <w:rPr>
          <w:rFonts w:ascii="Arial" w:hAnsi="Arial" w:eastAsia="Arial" w:cs="Arial"/>
        </w:rPr>
        <w:t>Implement an Access and Fair Assessment Policy to guarantee equal opportunities in assessment.</w:t>
      </w:r>
    </w:p>
    <w:p w:rsidR="00ED5175" w:rsidP="24924CEA" w:rsidRDefault="00ED5175" w14:paraId="6100E2E2" w14:textId="77777777">
      <w:pPr>
        <w:pStyle w:val="ListParagraph"/>
        <w:numPr>
          <w:ilvl w:val="0"/>
          <w:numId w:val="16"/>
        </w:numPr>
        <w:rPr>
          <w:rFonts w:ascii="Arial" w:hAnsi="Arial" w:eastAsia="Arial" w:cs="Arial"/>
        </w:rPr>
      </w:pPr>
      <w:r w:rsidRPr="24924CEA">
        <w:rPr>
          <w:rFonts w:ascii="Arial" w:hAnsi="Arial" w:eastAsia="Arial" w:cs="Arial"/>
        </w:rPr>
        <w:t>Make reasonable adjustments for learners with specific needs or disabilities.</w:t>
      </w:r>
    </w:p>
    <w:p w:rsidR="00ED5175" w:rsidP="24924CEA" w:rsidRDefault="00ED5175" w14:paraId="0DFCDC89" w14:textId="77777777">
      <w:pPr>
        <w:pStyle w:val="ListParagraph"/>
        <w:numPr>
          <w:ilvl w:val="0"/>
          <w:numId w:val="16"/>
        </w:numPr>
        <w:rPr>
          <w:rFonts w:ascii="Arial" w:hAnsi="Arial" w:eastAsia="Arial" w:cs="Arial"/>
        </w:rPr>
      </w:pPr>
      <w:r w:rsidRPr="24924CEA">
        <w:rPr>
          <w:rFonts w:ascii="Arial" w:hAnsi="Arial" w:eastAsia="Arial" w:cs="Arial"/>
        </w:rPr>
        <w:t>Monitor assessment outcomes to detect and act upon any unjustified disparities.</w:t>
      </w:r>
    </w:p>
    <w:p w:rsidR="00ED5175" w:rsidP="24924CEA" w:rsidRDefault="00ED5175" w14:paraId="17FB803D" w14:textId="2584B4DB">
      <w:pPr>
        <w:rPr>
          <w:rFonts w:ascii="Arial" w:hAnsi="Arial" w:eastAsia="Arial" w:cs="Arial"/>
        </w:rPr>
      </w:pPr>
      <w:r w:rsidRPr="24924CEA">
        <w:rPr>
          <w:rFonts w:ascii="Arial" w:hAnsi="Arial" w:eastAsia="Arial" w:cs="Arial"/>
        </w:rPr>
        <w:t>d. Inclusive Recruitment and Vetting:</w:t>
      </w:r>
    </w:p>
    <w:p w:rsidR="00ED5175" w:rsidP="24924CEA" w:rsidRDefault="00ED5175" w14:paraId="2988AA58" w14:textId="77777777">
      <w:pPr>
        <w:pStyle w:val="ListParagraph"/>
        <w:numPr>
          <w:ilvl w:val="0"/>
          <w:numId w:val="17"/>
        </w:numPr>
        <w:rPr>
          <w:rFonts w:ascii="Arial" w:hAnsi="Arial" w:eastAsia="Arial" w:cs="Arial"/>
        </w:rPr>
      </w:pPr>
      <w:r w:rsidRPr="24924CEA">
        <w:rPr>
          <w:rFonts w:ascii="Arial" w:hAnsi="Arial" w:eastAsia="Arial" w:cs="Arial"/>
        </w:rPr>
        <w:t xml:space="preserve">Apply inclusive recruitment practices </w:t>
      </w:r>
      <w:proofErr w:type="gramStart"/>
      <w:r w:rsidRPr="24924CEA">
        <w:rPr>
          <w:rFonts w:ascii="Arial" w:hAnsi="Arial" w:eastAsia="Arial" w:cs="Arial"/>
        </w:rPr>
        <w:t>across</w:t>
      </w:r>
      <w:proofErr w:type="gramEnd"/>
      <w:r w:rsidRPr="24924CEA">
        <w:rPr>
          <w:rFonts w:ascii="Arial" w:hAnsi="Arial" w:eastAsia="Arial" w:cs="Arial"/>
        </w:rPr>
        <w:t xml:space="preserve"> staff and trainees.</w:t>
      </w:r>
    </w:p>
    <w:p w:rsidR="00ED5175" w:rsidP="24924CEA" w:rsidRDefault="00ED5175" w14:paraId="2D87AA6F" w14:textId="77777777">
      <w:pPr>
        <w:pStyle w:val="ListParagraph"/>
        <w:numPr>
          <w:ilvl w:val="0"/>
          <w:numId w:val="17"/>
        </w:numPr>
        <w:rPr>
          <w:rFonts w:ascii="Arial" w:hAnsi="Arial" w:eastAsia="Arial" w:cs="Arial"/>
        </w:rPr>
      </w:pPr>
      <w:r w:rsidRPr="24924CEA">
        <w:rPr>
          <w:rFonts w:ascii="Arial" w:hAnsi="Arial" w:eastAsia="Arial" w:cs="Arial"/>
        </w:rPr>
        <w:t>Ensure job descriptions and adverts are free from bias.</w:t>
      </w:r>
    </w:p>
    <w:p w:rsidR="00ED5175" w:rsidP="24924CEA" w:rsidRDefault="00ED5175" w14:paraId="570D6534" w14:textId="77777777">
      <w:pPr>
        <w:pStyle w:val="ListParagraph"/>
        <w:numPr>
          <w:ilvl w:val="0"/>
          <w:numId w:val="17"/>
        </w:numPr>
        <w:rPr>
          <w:rFonts w:ascii="Arial" w:hAnsi="Arial" w:eastAsia="Arial" w:cs="Arial"/>
        </w:rPr>
      </w:pPr>
      <w:r w:rsidRPr="24924CEA">
        <w:rPr>
          <w:rFonts w:ascii="Arial" w:hAnsi="Arial" w:eastAsia="Arial" w:cs="Arial"/>
        </w:rPr>
        <w:t>Provide training on unconscious bias and fair selection procedures.</w:t>
      </w:r>
    </w:p>
    <w:p w:rsidR="00ED5175" w:rsidP="24924CEA" w:rsidRDefault="00ED5175" w14:paraId="22195B5A" w14:textId="4804B875">
      <w:pPr>
        <w:rPr>
          <w:rFonts w:ascii="Arial" w:hAnsi="Arial" w:eastAsia="Arial" w:cs="Arial"/>
        </w:rPr>
      </w:pPr>
      <w:r w:rsidRPr="24924CEA">
        <w:rPr>
          <w:rFonts w:ascii="Arial" w:hAnsi="Arial" w:eastAsia="Arial" w:cs="Arial"/>
        </w:rPr>
        <w:t>e. Training and Development:</w:t>
      </w:r>
    </w:p>
    <w:p w:rsidR="00ED5175" w:rsidP="24924CEA" w:rsidRDefault="00ED5175" w14:paraId="3B9D8590" w14:textId="77777777">
      <w:pPr>
        <w:pStyle w:val="ListParagraph"/>
        <w:numPr>
          <w:ilvl w:val="0"/>
          <w:numId w:val="18"/>
        </w:numPr>
        <w:rPr>
          <w:rFonts w:ascii="Arial" w:hAnsi="Arial" w:eastAsia="Arial" w:cs="Arial"/>
        </w:rPr>
      </w:pPr>
      <w:r w:rsidRPr="24924CEA">
        <w:rPr>
          <w:rFonts w:ascii="Arial" w:hAnsi="Arial" w:eastAsia="Arial" w:cs="Arial"/>
        </w:rPr>
        <w:t>Deliver mandatory EDI training for all staff and mentors.</w:t>
      </w:r>
    </w:p>
    <w:p w:rsidR="00ED5175" w:rsidP="24924CEA" w:rsidRDefault="00ED5175" w14:paraId="02389E5F" w14:textId="77777777">
      <w:pPr>
        <w:pStyle w:val="ListParagraph"/>
        <w:numPr>
          <w:ilvl w:val="0"/>
          <w:numId w:val="18"/>
        </w:numPr>
        <w:rPr>
          <w:rFonts w:ascii="Arial" w:hAnsi="Arial" w:eastAsia="Arial" w:cs="Arial"/>
        </w:rPr>
      </w:pPr>
      <w:r w:rsidRPr="24924CEA">
        <w:rPr>
          <w:rFonts w:ascii="Arial" w:hAnsi="Arial" w:eastAsia="Arial" w:cs="Arial"/>
        </w:rPr>
        <w:t xml:space="preserve">Integrate EDI awareness into CPD for assessors, IQAs, and </w:t>
      </w:r>
      <w:proofErr w:type="spellStart"/>
      <w:r w:rsidRPr="24924CEA">
        <w:rPr>
          <w:rFonts w:ascii="Arial" w:hAnsi="Arial" w:eastAsia="Arial" w:cs="Arial"/>
        </w:rPr>
        <w:t>programme</w:t>
      </w:r>
      <w:proofErr w:type="spellEnd"/>
      <w:r w:rsidRPr="24924CEA">
        <w:rPr>
          <w:rFonts w:ascii="Arial" w:hAnsi="Arial" w:eastAsia="Arial" w:cs="Arial"/>
        </w:rPr>
        <w:t xml:space="preserve"> facilitators.</w:t>
      </w:r>
    </w:p>
    <w:p w:rsidR="00ED5175" w:rsidP="24924CEA" w:rsidRDefault="00ED5175" w14:paraId="6D539F67" w14:textId="11DA7F90">
      <w:pPr>
        <w:ind w:left="360"/>
        <w:rPr>
          <w:rFonts w:ascii="Arial" w:hAnsi="Arial" w:eastAsia="Arial" w:cs="Arial"/>
        </w:rPr>
      </w:pPr>
      <w:r w:rsidRPr="24924CEA">
        <w:rPr>
          <w:rFonts w:ascii="Arial" w:hAnsi="Arial" w:eastAsia="Arial" w:cs="Arial"/>
        </w:rPr>
        <w:lastRenderedPageBreak/>
        <w:t>f. Monitoring and Evaluation:</w:t>
      </w:r>
    </w:p>
    <w:p w:rsidR="00ED5175" w:rsidP="24924CEA" w:rsidRDefault="00ED5175" w14:paraId="34712DCC" w14:textId="77777777">
      <w:pPr>
        <w:pStyle w:val="ListParagraph"/>
        <w:numPr>
          <w:ilvl w:val="0"/>
          <w:numId w:val="19"/>
        </w:numPr>
        <w:rPr>
          <w:rFonts w:ascii="Arial" w:hAnsi="Arial" w:eastAsia="Arial" w:cs="Arial"/>
        </w:rPr>
      </w:pPr>
      <w:r w:rsidRPr="24924CEA">
        <w:rPr>
          <w:rFonts w:ascii="Arial" w:hAnsi="Arial" w:eastAsia="Arial" w:cs="Arial"/>
        </w:rPr>
        <w:t>Monitor learner enrolment, achievement, and progression by demographic characteristics.</w:t>
      </w:r>
    </w:p>
    <w:p w:rsidR="00ED5175" w:rsidP="24924CEA" w:rsidRDefault="00ED5175" w14:paraId="4BDF73DB" w14:textId="77777777">
      <w:pPr>
        <w:pStyle w:val="ListParagraph"/>
        <w:numPr>
          <w:ilvl w:val="0"/>
          <w:numId w:val="19"/>
        </w:numPr>
        <w:rPr>
          <w:rFonts w:ascii="Arial" w:hAnsi="Arial" w:eastAsia="Arial" w:cs="Arial"/>
        </w:rPr>
      </w:pPr>
      <w:proofErr w:type="spellStart"/>
      <w:r w:rsidRPr="24924CEA">
        <w:rPr>
          <w:rFonts w:ascii="Arial" w:hAnsi="Arial" w:eastAsia="Arial" w:cs="Arial"/>
        </w:rPr>
        <w:t>Analyse</w:t>
      </w:r>
      <w:proofErr w:type="spellEnd"/>
      <w:r w:rsidRPr="24924CEA">
        <w:rPr>
          <w:rFonts w:ascii="Arial" w:hAnsi="Arial" w:eastAsia="Arial" w:cs="Arial"/>
        </w:rPr>
        <w:t xml:space="preserve"> trends to identify underrepresentation or inequality.</w:t>
      </w:r>
    </w:p>
    <w:p w:rsidR="00ED5175" w:rsidP="24924CEA" w:rsidRDefault="00ED5175" w14:paraId="336E1DDC" w14:textId="77777777">
      <w:pPr>
        <w:pStyle w:val="ListParagraph"/>
        <w:numPr>
          <w:ilvl w:val="0"/>
          <w:numId w:val="19"/>
        </w:numPr>
        <w:rPr>
          <w:rFonts w:ascii="Arial" w:hAnsi="Arial" w:eastAsia="Arial" w:cs="Arial"/>
        </w:rPr>
      </w:pPr>
      <w:r w:rsidRPr="24924CEA">
        <w:rPr>
          <w:rFonts w:ascii="Arial" w:hAnsi="Arial" w:eastAsia="Arial" w:cs="Arial"/>
        </w:rPr>
        <w:t>Take proactive steps to address any gaps or barriers identified.</w:t>
      </w:r>
    </w:p>
    <w:p w:rsidR="00ED5175" w:rsidP="24924CEA" w:rsidRDefault="00ED5175" w14:paraId="67E2E224" w14:textId="4262A601">
      <w:pPr>
        <w:rPr>
          <w:rFonts w:ascii="Arial" w:hAnsi="Arial" w:eastAsia="Arial" w:cs="Arial"/>
        </w:rPr>
      </w:pPr>
      <w:r w:rsidRPr="24924CEA">
        <w:rPr>
          <w:rFonts w:ascii="Arial" w:hAnsi="Arial" w:eastAsia="Arial" w:cs="Arial"/>
        </w:rPr>
        <w:t>g. Governance and Accountability:</w:t>
      </w:r>
    </w:p>
    <w:p w:rsidR="00ED5175" w:rsidP="24924CEA" w:rsidRDefault="00ED5175" w14:paraId="28313FC6" w14:textId="77777777">
      <w:pPr>
        <w:pStyle w:val="ListParagraph"/>
        <w:numPr>
          <w:ilvl w:val="0"/>
          <w:numId w:val="20"/>
        </w:numPr>
        <w:rPr>
          <w:rFonts w:ascii="Arial" w:hAnsi="Arial" w:eastAsia="Arial" w:cs="Arial"/>
        </w:rPr>
      </w:pPr>
      <w:r w:rsidRPr="24924CEA">
        <w:rPr>
          <w:rFonts w:ascii="Arial" w:hAnsi="Arial" w:eastAsia="Arial" w:cs="Arial"/>
        </w:rPr>
        <w:t>Designate a senior leader as EDI Lead with responsibility for implementation.</w:t>
      </w:r>
    </w:p>
    <w:p w:rsidR="00ED5175" w:rsidP="24924CEA" w:rsidRDefault="00ED5175" w14:paraId="6E3298CE" w14:textId="77777777">
      <w:pPr>
        <w:pStyle w:val="ListParagraph"/>
        <w:numPr>
          <w:ilvl w:val="0"/>
          <w:numId w:val="20"/>
        </w:numPr>
        <w:rPr>
          <w:rFonts w:ascii="Arial" w:hAnsi="Arial" w:eastAsia="Arial" w:cs="Arial"/>
        </w:rPr>
      </w:pPr>
      <w:r w:rsidRPr="24924CEA">
        <w:rPr>
          <w:rFonts w:ascii="Arial" w:hAnsi="Arial" w:eastAsia="Arial" w:cs="Arial"/>
        </w:rPr>
        <w:t>Review and report annually on progress and impact.</w:t>
      </w:r>
    </w:p>
    <w:p w:rsidR="00F14DF2" w:rsidP="24924CEA" w:rsidRDefault="00ED5175" w14:paraId="537B8A9E" w14:textId="3D61DB9B">
      <w:pPr>
        <w:pStyle w:val="ListParagraph"/>
        <w:numPr>
          <w:ilvl w:val="0"/>
          <w:numId w:val="20"/>
        </w:numPr>
        <w:rPr>
          <w:rFonts w:ascii="Arial" w:hAnsi="Arial" w:eastAsia="Arial" w:cs="Arial"/>
        </w:rPr>
      </w:pPr>
      <w:r w:rsidRPr="24924CEA">
        <w:rPr>
          <w:rFonts w:ascii="Arial" w:hAnsi="Arial" w:eastAsia="Arial" w:cs="Arial"/>
        </w:rPr>
        <w:t xml:space="preserve">Ensure EDI is a standing item in policy reviews, </w:t>
      </w:r>
      <w:proofErr w:type="spellStart"/>
      <w:r w:rsidRPr="24924CEA">
        <w:rPr>
          <w:rFonts w:ascii="Arial" w:hAnsi="Arial" w:eastAsia="Arial" w:cs="Arial"/>
        </w:rPr>
        <w:t>programme</w:t>
      </w:r>
      <w:proofErr w:type="spellEnd"/>
      <w:r w:rsidRPr="24924CEA">
        <w:rPr>
          <w:rFonts w:ascii="Arial" w:hAnsi="Arial" w:eastAsia="Arial" w:cs="Arial"/>
        </w:rPr>
        <w:t xml:space="preserve"> evaluations, and team meetings.</w:t>
      </w:r>
    </w:p>
    <w:p w:rsidR="00F14DF2" w:rsidP="24924CEA" w:rsidRDefault="00ED5175" w14:paraId="4581BFDE" w14:textId="77777777">
      <w:pPr>
        <w:pStyle w:val="Heading2"/>
        <w:rPr>
          <w:rFonts w:ascii="Arial" w:hAnsi="Arial" w:eastAsia="Arial" w:cs="Arial"/>
        </w:rPr>
      </w:pPr>
      <w:r w:rsidRPr="24924CEA">
        <w:rPr>
          <w:rFonts w:ascii="Arial" w:hAnsi="Arial" w:eastAsia="Arial" w:cs="Arial"/>
        </w:rPr>
        <w:t>4. Responsibilities</w:t>
      </w:r>
    </w:p>
    <w:p w:rsidR="00ED5175" w:rsidP="24924CEA" w:rsidRDefault="00ED5175" w14:paraId="24CE2D46" w14:textId="77777777">
      <w:pPr>
        <w:pStyle w:val="ListParagraph"/>
        <w:numPr>
          <w:ilvl w:val="0"/>
          <w:numId w:val="21"/>
        </w:numPr>
        <w:rPr>
          <w:rFonts w:ascii="Arial" w:hAnsi="Arial" w:eastAsia="Arial" w:cs="Arial"/>
        </w:rPr>
      </w:pPr>
      <w:r w:rsidRPr="24924CEA">
        <w:rPr>
          <w:rFonts w:ascii="Arial" w:hAnsi="Arial" w:eastAsia="Arial" w:cs="Arial"/>
        </w:rPr>
        <w:t>Senior Leadership: Strategic oversight, resource allocation, accountability.</w:t>
      </w:r>
    </w:p>
    <w:p w:rsidR="00ED5175" w:rsidP="24924CEA" w:rsidRDefault="00ED5175" w14:paraId="2103AF97" w14:textId="77777777">
      <w:pPr>
        <w:pStyle w:val="ListParagraph"/>
        <w:numPr>
          <w:ilvl w:val="0"/>
          <w:numId w:val="21"/>
        </w:numPr>
        <w:rPr>
          <w:rFonts w:ascii="Arial" w:hAnsi="Arial" w:eastAsia="Arial" w:cs="Arial"/>
        </w:rPr>
      </w:pPr>
      <w:r w:rsidRPr="24924CEA">
        <w:rPr>
          <w:rFonts w:ascii="Arial" w:hAnsi="Arial" w:eastAsia="Arial" w:cs="Arial"/>
        </w:rPr>
        <w:t>All Staff and Delivery Partners: Active contribution to inclusive practice and policy adherence.</w:t>
      </w:r>
    </w:p>
    <w:p w:rsidR="00F14DF2" w:rsidP="24924CEA" w:rsidRDefault="00ED5175" w14:paraId="1DAA73C7" w14:textId="5E7A9DC6">
      <w:pPr>
        <w:pStyle w:val="ListParagraph"/>
        <w:numPr>
          <w:ilvl w:val="0"/>
          <w:numId w:val="21"/>
        </w:numPr>
        <w:rPr>
          <w:rFonts w:ascii="Arial" w:hAnsi="Arial" w:eastAsia="Arial" w:cs="Arial"/>
        </w:rPr>
      </w:pPr>
      <w:r w:rsidRPr="24924CEA">
        <w:rPr>
          <w:rFonts w:ascii="Arial" w:hAnsi="Arial" w:eastAsia="Arial" w:cs="Arial"/>
        </w:rPr>
        <w:t>Trainees and Learners: Mutual respect, reporting concerns, upholding EDI values.</w:t>
      </w:r>
    </w:p>
    <w:p w:rsidR="00F14DF2" w:rsidP="24924CEA" w:rsidRDefault="00ED5175" w14:paraId="2F2861C0" w14:textId="77777777">
      <w:pPr>
        <w:pStyle w:val="Heading2"/>
        <w:rPr>
          <w:rFonts w:ascii="Arial" w:hAnsi="Arial" w:eastAsia="Arial" w:cs="Arial"/>
        </w:rPr>
      </w:pPr>
      <w:r w:rsidRPr="24924CEA">
        <w:rPr>
          <w:rFonts w:ascii="Arial" w:hAnsi="Arial" w:eastAsia="Arial" w:cs="Arial"/>
        </w:rPr>
        <w:t>5. Related Policies and Procedures</w:t>
      </w:r>
    </w:p>
    <w:p w:rsidR="00ED5175" w:rsidP="24924CEA" w:rsidRDefault="00ED5175" w14:paraId="4C13E21D" w14:textId="5921F843">
      <w:pPr>
        <w:rPr>
          <w:rFonts w:ascii="Arial" w:hAnsi="Arial" w:eastAsia="Arial" w:cs="Arial"/>
        </w:rPr>
      </w:pPr>
      <w:r w:rsidRPr="24924CEA">
        <w:rPr>
          <w:rFonts w:ascii="Arial" w:hAnsi="Arial" w:eastAsia="Arial" w:cs="Arial"/>
        </w:rPr>
        <w:t>This policy should be read in conjunction with:</w:t>
      </w:r>
    </w:p>
    <w:p w:rsidR="00ED5175" w:rsidP="24924CEA" w:rsidRDefault="00ED5175" w14:paraId="7B7EC380" w14:textId="77777777">
      <w:pPr>
        <w:pStyle w:val="ListParagraph"/>
        <w:numPr>
          <w:ilvl w:val="0"/>
          <w:numId w:val="22"/>
        </w:numPr>
        <w:rPr>
          <w:rFonts w:ascii="Arial" w:hAnsi="Arial" w:eastAsia="Arial" w:cs="Arial"/>
        </w:rPr>
      </w:pPr>
      <w:r w:rsidRPr="24924CEA">
        <w:rPr>
          <w:rFonts w:ascii="Arial" w:hAnsi="Arial" w:eastAsia="Arial" w:cs="Arial"/>
        </w:rPr>
        <w:t>Complaints Policy</w:t>
      </w:r>
    </w:p>
    <w:p w:rsidR="00ED5175" w:rsidP="24924CEA" w:rsidRDefault="00ED5175" w14:paraId="406D50B9" w14:textId="77777777">
      <w:pPr>
        <w:pStyle w:val="ListParagraph"/>
        <w:numPr>
          <w:ilvl w:val="0"/>
          <w:numId w:val="22"/>
        </w:numPr>
        <w:rPr>
          <w:rFonts w:ascii="Arial" w:hAnsi="Arial" w:eastAsia="Arial" w:cs="Arial"/>
        </w:rPr>
      </w:pPr>
      <w:r w:rsidRPr="24924CEA">
        <w:rPr>
          <w:rFonts w:ascii="Arial" w:hAnsi="Arial" w:eastAsia="Arial" w:cs="Arial"/>
        </w:rPr>
        <w:t>Appeals Policy</w:t>
      </w:r>
    </w:p>
    <w:p w:rsidR="00ED5175" w:rsidP="24924CEA" w:rsidRDefault="00ED5175" w14:paraId="68C12B8C" w14:textId="77777777">
      <w:pPr>
        <w:pStyle w:val="ListParagraph"/>
        <w:numPr>
          <w:ilvl w:val="0"/>
          <w:numId w:val="22"/>
        </w:numPr>
        <w:rPr>
          <w:rFonts w:ascii="Arial" w:hAnsi="Arial" w:eastAsia="Arial" w:cs="Arial"/>
        </w:rPr>
      </w:pPr>
      <w:r w:rsidRPr="24924CEA">
        <w:rPr>
          <w:rFonts w:ascii="Arial" w:hAnsi="Arial" w:eastAsia="Arial" w:cs="Arial"/>
        </w:rPr>
        <w:t>Safeguarding and Child Protection Policy</w:t>
      </w:r>
    </w:p>
    <w:p w:rsidR="00ED5175" w:rsidP="24924CEA" w:rsidRDefault="00ED5175" w14:paraId="4D1AD2A5" w14:textId="77777777">
      <w:pPr>
        <w:pStyle w:val="ListParagraph"/>
        <w:numPr>
          <w:ilvl w:val="0"/>
          <w:numId w:val="22"/>
        </w:numPr>
        <w:rPr>
          <w:rFonts w:ascii="Arial" w:hAnsi="Arial" w:eastAsia="Arial" w:cs="Arial"/>
        </w:rPr>
      </w:pPr>
      <w:r w:rsidRPr="24924CEA">
        <w:rPr>
          <w:rFonts w:ascii="Arial" w:hAnsi="Arial" w:eastAsia="Arial" w:cs="Arial"/>
        </w:rPr>
        <w:t>Whistleblowing Policy</w:t>
      </w:r>
    </w:p>
    <w:p w:rsidR="00ED5175" w:rsidP="24924CEA" w:rsidRDefault="00ED5175" w14:paraId="22FDEB7F" w14:textId="77777777">
      <w:pPr>
        <w:pStyle w:val="ListParagraph"/>
        <w:numPr>
          <w:ilvl w:val="0"/>
          <w:numId w:val="22"/>
        </w:numPr>
        <w:rPr>
          <w:rFonts w:ascii="Arial" w:hAnsi="Arial" w:eastAsia="Arial" w:cs="Arial"/>
        </w:rPr>
      </w:pPr>
      <w:r w:rsidRPr="24924CEA">
        <w:rPr>
          <w:rFonts w:ascii="Arial" w:hAnsi="Arial" w:eastAsia="Arial" w:cs="Arial"/>
        </w:rPr>
        <w:t>Recruitment, Selection and Vetting Policy</w:t>
      </w:r>
    </w:p>
    <w:p w:rsidR="00ED5175" w:rsidP="24924CEA" w:rsidRDefault="00ED5175" w14:paraId="5F9DBD24" w14:textId="77777777">
      <w:pPr>
        <w:pStyle w:val="ListParagraph"/>
        <w:numPr>
          <w:ilvl w:val="0"/>
          <w:numId w:val="22"/>
        </w:numPr>
        <w:rPr>
          <w:rFonts w:ascii="Arial" w:hAnsi="Arial" w:eastAsia="Arial" w:cs="Arial"/>
        </w:rPr>
      </w:pPr>
      <w:r w:rsidRPr="24924CEA">
        <w:rPr>
          <w:rFonts w:ascii="Arial" w:hAnsi="Arial" w:eastAsia="Arial" w:cs="Arial"/>
        </w:rPr>
        <w:t>Access and Fair Assessment Policy</w:t>
      </w:r>
    </w:p>
    <w:p w:rsidR="00F14DF2" w:rsidP="24924CEA" w:rsidRDefault="00ED5175" w14:paraId="3B3ACF07" w14:textId="608EC162">
      <w:pPr>
        <w:pStyle w:val="ListParagraph"/>
        <w:numPr>
          <w:ilvl w:val="0"/>
          <w:numId w:val="22"/>
        </w:numPr>
        <w:rPr>
          <w:rFonts w:ascii="Arial" w:hAnsi="Arial" w:eastAsia="Arial" w:cs="Arial"/>
        </w:rPr>
      </w:pPr>
      <w:r w:rsidRPr="24924CEA">
        <w:rPr>
          <w:rFonts w:ascii="Arial" w:hAnsi="Arial" w:eastAsia="Arial" w:cs="Arial"/>
        </w:rPr>
        <w:t>Internal Quality Assurance Strategy</w:t>
      </w:r>
    </w:p>
    <w:p w:rsidR="00F14DF2" w:rsidP="24924CEA" w:rsidRDefault="00ED5175" w14:paraId="5A2515EF" w14:textId="77777777">
      <w:pPr>
        <w:pStyle w:val="Heading2"/>
        <w:rPr>
          <w:rFonts w:ascii="Arial" w:hAnsi="Arial" w:eastAsia="Arial" w:cs="Arial"/>
        </w:rPr>
      </w:pPr>
      <w:r w:rsidRPr="24924CEA">
        <w:rPr>
          <w:rFonts w:ascii="Arial" w:hAnsi="Arial" w:eastAsia="Arial" w:cs="Arial"/>
        </w:rPr>
        <w:t>6. Review and Continuous Improvement</w:t>
      </w:r>
    </w:p>
    <w:p w:rsidR="00ED5175" w:rsidP="24924CEA" w:rsidRDefault="00ED5175" w14:paraId="14FF90C3" w14:textId="6250D8CC">
      <w:pPr>
        <w:rPr>
          <w:rFonts w:ascii="Arial" w:hAnsi="Arial" w:eastAsia="Arial" w:cs="Arial"/>
        </w:rPr>
      </w:pPr>
      <w:r w:rsidRPr="24924CEA">
        <w:rPr>
          <w:rFonts w:ascii="Arial" w:hAnsi="Arial" w:eastAsia="Arial" w:cs="Arial"/>
        </w:rPr>
        <w:t>This policy will be reviewed annually, or earlier in response to:</w:t>
      </w:r>
    </w:p>
    <w:p w:rsidR="00ED5175" w:rsidP="24924CEA" w:rsidRDefault="00ED5175" w14:paraId="73D8E508" w14:textId="77777777">
      <w:pPr>
        <w:pStyle w:val="ListParagraph"/>
        <w:numPr>
          <w:ilvl w:val="0"/>
          <w:numId w:val="23"/>
        </w:numPr>
        <w:rPr>
          <w:rFonts w:ascii="Arial" w:hAnsi="Arial" w:eastAsia="Arial" w:cs="Arial"/>
        </w:rPr>
      </w:pPr>
      <w:r w:rsidRPr="24924CEA">
        <w:rPr>
          <w:rFonts w:ascii="Arial" w:hAnsi="Arial" w:eastAsia="Arial" w:cs="Arial"/>
        </w:rPr>
        <w:t>Legislative changes</w:t>
      </w:r>
    </w:p>
    <w:p w:rsidR="00ED5175" w:rsidP="24924CEA" w:rsidRDefault="00ED5175" w14:paraId="5724132B" w14:textId="77777777">
      <w:pPr>
        <w:pStyle w:val="ListParagraph"/>
        <w:numPr>
          <w:ilvl w:val="0"/>
          <w:numId w:val="23"/>
        </w:numPr>
        <w:rPr>
          <w:rFonts w:ascii="Arial" w:hAnsi="Arial" w:eastAsia="Arial" w:cs="Arial"/>
        </w:rPr>
      </w:pPr>
      <w:r w:rsidRPr="24924CEA">
        <w:rPr>
          <w:rFonts w:ascii="Arial" w:hAnsi="Arial" w:eastAsia="Arial" w:cs="Arial"/>
        </w:rPr>
        <w:t xml:space="preserve">Updates to </w:t>
      </w:r>
      <w:proofErr w:type="spellStart"/>
      <w:r w:rsidRPr="24924CEA">
        <w:rPr>
          <w:rFonts w:ascii="Arial" w:hAnsi="Arial" w:eastAsia="Arial" w:cs="Arial"/>
        </w:rPr>
        <w:t>Ofqual</w:t>
      </w:r>
      <w:proofErr w:type="spellEnd"/>
      <w:r w:rsidRPr="24924CEA">
        <w:rPr>
          <w:rFonts w:ascii="Arial" w:hAnsi="Arial" w:eastAsia="Arial" w:cs="Arial"/>
        </w:rPr>
        <w:t xml:space="preserve"> or NCFE guidance</w:t>
      </w:r>
    </w:p>
    <w:p w:rsidR="00ED5175" w:rsidP="24924CEA" w:rsidRDefault="00ED5175" w14:paraId="0B565B65" w14:textId="77777777">
      <w:pPr>
        <w:pStyle w:val="ListParagraph"/>
        <w:numPr>
          <w:ilvl w:val="0"/>
          <w:numId w:val="23"/>
        </w:numPr>
        <w:rPr>
          <w:rFonts w:ascii="Arial" w:hAnsi="Arial" w:eastAsia="Arial" w:cs="Arial"/>
        </w:rPr>
      </w:pPr>
      <w:r w:rsidRPr="24924CEA">
        <w:rPr>
          <w:rFonts w:ascii="Arial" w:hAnsi="Arial" w:eastAsia="Arial" w:cs="Arial"/>
        </w:rPr>
        <w:t>Feedback from stakeholders</w:t>
      </w:r>
    </w:p>
    <w:p w:rsidR="00ED5175" w:rsidP="24924CEA" w:rsidRDefault="00ED5175" w14:paraId="2557989F" w14:textId="77777777">
      <w:pPr>
        <w:pStyle w:val="ListParagraph"/>
        <w:numPr>
          <w:ilvl w:val="0"/>
          <w:numId w:val="23"/>
        </w:numPr>
        <w:rPr>
          <w:rFonts w:ascii="Arial" w:hAnsi="Arial" w:eastAsia="Arial" w:cs="Arial"/>
        </w:rPr>
      </w:pPr>
      <w:r w:rsidRPr="3886FCF2">
        <w:rPr>
          <w:rFonts w:ascii="Arial" w:hAnsi="Arial" w:eastAsia="Arial" w:cs="Arial"/>
        </w:rPr>
        <w:t>Outcomes of internal audits or external reviews</w:t>
      </w:r>
      <w:r>
        <w:br/>
      </w:r>
    </w:p>
    <w:p w:rsidR="00F14DF2" w:rsidP="24924CEA" w:rsidRDefault="00F14DF2" w14:paraId="022DC2BC" w14:textId="67CAFA2C">
      <w:pPr>
        <w:rPr>
          <w:rFonts w:ascii="Arial" w:hAnsi="Arial" w:eastAsia="Arial" w:cs="Arial"/>
        </w:rPr>
      </w:pPr>
    </w:p>
    <w:sectPr w:rsidR="00F14DF2" w:rsidSect="00034616">
      <w:headerReference w:type="default" r:id="rId11"/>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4D7" w:rsidP="00ED5175" w:rsidRDefault="000964D7" w14:paraId="5FD54CD8" w14:textId="77777777">
      <w:pPr>
        <w:spacing w:after="0" w:line="240" w:lineRule="auto"/>
      </w:pPr>
      <w:r>
        <w:separator/>
      </w:r>
    </w:p>
  </w:endnote>
  <w:endnote w:type="continuationSeparator" w:id="0">
    <w:p w:rsidR="000964D7" w:rsidP="00ED5175" w:rsidRDefault="000964D7" w14:paraId="2022219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4D7" w:rsidP="00ED5175" w:rsidRDefault="000964D7" w14:paraId="4A8EB1E8" w14:textId="77777777">
      <w:pPr>
        <w:spacing w:after="0" w:line="240" w:lineRule="auto"/>
      </w:pPr>
      <w:r>
        <w:separator/>
      </w:r>
    </w:p>
  </w:footnote>
  <w:footnote w:type="continuationSeparator" w:id="0">
    <w:p w:rsidR="000964D7" w:rsidP="00ED5175" w:rsidRDefault="000964D7" w14:paraId="7F81EAA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D5175" w:rsidRDefault="00ED5175" w14:paraId="2BB88F06" w14:textId="127EC416">
    <w:pPr>
      <w:pStyle w:val="Header"/>
    </w:pPr>
    <w:r>
      <w:rPr>
        <w:noProof/>
      </w:rPr>
      <w:drawing>
        <wp:anchor distT="0" distB="0" distL="114300" distR="114300" simplePos="0" relativeHeight="251659264" behindDoc="1" locked="0" layoutInCell="1" allowOverlap="1" wp14:anchorId="2435448E" wp14:editId="59C67CFE">
          <wp:simplePos x="0" y="0"/>
          <wp:positionH relativeFrom="page">
            <wp:posOffset>190500</wp:posOffset>
          </wp:positionH>
          <wp:positionV relativeFrom="paragraph">
            <wp:posOffset>-457200</wp:posOffset>
          </wp:positionV>
          <wp:extent cx="7750810" cy="1842135"/>
          <wp:effectExtent l="0" t="0" r="2540" b="5715"/>
          <wp:wrapTight wrapText="bothSides">
            <wp:wrapPolygon edited="0">
              <wp:start x="0" y="0"/>
              <wp:lineTo x="0" y="21444"/>
              <wp:lineTo x="21554" y="21444"/>
              <wp:lineTo x="21554" y="0"/>
              <wp:lineTo x="0" y="0"/>
            </wp:wrapPolygon>
          </wp:wrapTight>
          <wp:docPr id="1446378210" name="Picture 2"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78210" name="Picture 2" descr="A red and white sign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7750810"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5553689"/>
    <w:multiLevelType w:val="hybridMultilevel"/>
    <w:tmpl w:val="B87052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6286858"/>
    <w:multiLevelType w:val="hybridMultilevel"/>
    <w:tmpl w:val="84681B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63145DA"/>
    <w:multiLevelType w:val="hybridMultilevel"/>
    <w:tmpl w:val="13AA9D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7653ABE"/>
    <w:multiLevelType w:val="hybridMultilevel"/>
    <w:tmpl w:val="84F082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671049A"/>
    <w:multiLevelType w:val="hybridMultilevel"/>
    <w:tmpl w:val="88D4AB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94A37A5"/>
    <w:multiLevelType w:val="hybridMultilevel"/>
    <w:tmpl w:val="00F618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BE52183"/>
    <w:multiLevelType w:val="hybridMultilevel"/>
    <w:tmpl w:val="B63EE80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2E8033A4"/>
    <w:multiLevelType w:val="hybridMultilevel"/>
    <w:tmpl w:val="980204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C124126"/>
    <w:multiLevelType w:val="hybridMultilevel"/>
    <w:tmpl w:val="256276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D995149"/>
    <w:multiLevelType w:val="hybridMultilevel"/>
    <w:tmpl w:val="43209E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FB719C7"/>
    <w:multiLevelType w:val="hybridMultilevel"/>
    <w:tmpl w:val="46EA11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0F54A9"/>
    <w:multiLevelType w:val="hybridMultilevel"/>
    <w:tmpl w:val="2C52A7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81022C9"/>
    <w:multiLevelType w:val="hybridMultilevel"/>
    <w:tmpl w:val="62CE11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CBE3EF1"/>
    <w:multiLevelType w:val="hybridMultilevel"/>
    <w:tmpl w:val="A8D8EF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78628737">
    <w:abstractNumId w:val="8"/>
  </w:num>
  <w:num w:numId="2" w16cid:durableId="1941598858">
    <w:abstractNumId w:val="6"/>
  </w:num>
  <w:num w:numId="3" w16cid:durableId="774784718">
    <w:abstractNumId w:val="5"/>
  </w:num>
  <w:num w:numId="4" w16cid:durableId="1005472269">
    <w:abstractNumId w:val="4"/>
  </w:num>
  <w:num w:numId="5" w16cid:durableId="633604955">
    <w:abstractNumId w:val="7"/>
  </w:num>
  <w:num w:numId="6" w16cid:durableId="1300258282">
    <w:abstractNumId w:val="3"/>
  </w:num>
  <w:num w:numId="7" w16cid:durableId="459420565">
    <w:abstractNumId w:val="2"/>
  </w:num>
  <w:num w:numId="8" w16cid:durableId="1496994150">
    <w:abstractNumId w:val="1"/>
  </w:num>
  <w:num w:numId="9" w16cid:durableId="1351175373">
    <w:abstractNumId w:val="0"/>
  </w:num>
  <w:num w:numId="10" w16cid:durableId="701319945">
    <w:abstractNumId w:val="21"/>
  </w:num>
  <w:num w:numId="11" w16cid:durableId="71465429">
    <w:abstractNumId w:val="19"/>
  </w:num>
  <w:num w:numId="12" w16cid:durableId="1685017600">
    <w:abstractNumId w:val="20"/>
  </w:num>
  <w:num w:numId="13" w16cid:durableId="1282495290">
    <w:abstractNumId w:val="14"/>
  </w:num>
  <w:num w:numId="14" w16cid:durableId="1415473616">
    <w:abstractNumId w:val="13"/>
  </w:num>
  <w:num w:numId="15" w16cid:durableId="693111325">
    <w:abstractNumId w:val="18"/>
  </w:num>
  <w:num w:numId="16" w16cid:durableId="1168598856">
    <w:abstractNumId w:val="9"/>
  </w:num>
  <w:num w:numId="17" w16cid:durableId="153885268">
    <w:abstractNumId w:val="16"/>
  </w:num>
  <w:num w:numId="18" w16cid:durableId="1595477502">
    <w:abstractNumId w:val="11"/>
  </w:num>
  <w:num w:numId="19" w16cid:durableId="301273466">
    <w:abstractNumId w:val="15"/>
  </w:num>
  <w:num w:numId="20" w16cid:durableId="451018926">
    <w:abstractNumId w:val="17"/>
  </w:num>
  <w:num w:numId="21" w16cid:durableId="2119063417">
    <w:abstractNumId w:val="10"/>
  </w:num>
  <w:num w:numId="22" w16cid:durableId="1864132169">
    <w:abstractNumId w:val="22"/>
  </w:num>
  <w:num w:numId="23" w16cid:durableId="1565486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64D7"/>
    <w:rsid w:val="0015074B"/>
    <w:rsid w:val="0029639D"/>
    <w:rsid w:val="00326F90"/>
    <w:rsid w:val="00422406"/>
    <w:rsid w:val="005B4C30"/>
    <w:rsid w:val="009A11B5"/>
    <w:rsid w:val="00AA1D8D"/>
    <w:rsid w:val="00B47730"/>
    <w:rsid w:val="00CB0664"/>
    <w:rsid w:val="00ED5175"/>
    <w:rsid w:val="00F14DF2"/>
    <w:rsid w:val="00FC693F"/>
    <w:rsid w:val="0FB3424D"/>
    <w:rsid w:val="176C16DC"/>
    <w:rsid w:val="1980618D"/>
    <w:rsid w:val="19B4636E"/>
    <w:rsid w:val="19F40606"/>
    <w:rsid w:val="1B4BF57D"/>
    <w:rsid w:val="24924CEA"/>
    <w:rsid w:val="3886FCF2"/>
    <w:rsid w:val="393AFF20"/>
    <w:rsid w:val="40341C79"/>
    <w:rsid w:val="4972F970"/>
    <w:rsid w:val="5A00C049"/>
    <w:rsid w:val="64D27347"/>
    <w:rsid w:val="65CF449E"/>
    <w:rsid w:val="6965F9D4"/>
    <w:rsid w:val="6A052809"/>
    <w:rsid w:val="7298EC44"/>
    <w:rsid w:val="72F47C57"/>
    <w:rsid w:val="741EE1FC"/>
    <w:rsid w:val="79AEFAB3"/>
    <w:rsid w:val="7B678BCD"/>
    <w:rsid w:val="7C3A0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F12650"/>
  <w14:defaultImageDpi w14:val="300"/>
  <w15:docId w15:val="{2B51CCE3-C39C-4744-9A63-186A3ABC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aa22f9-cc7b-464c-a307-4f3ca8762b12" xsi:nil="true"/>
    <lcf76f155ced4ddcb4097134ff3c332f xmlns="e5873d33-56ae-40f9-8b97-64a660b0ab54">
      <Terms xmlns="http://schemas.microsoft.com/office/infopath/2007/PartnerControls"/>
    </lcf76f155ced4ddcb4097134ff3c332f>
    <ABnotes xmlns="e5873d33-56ae-40f9-8b97-64a660b0ab54">Not checked</ABnotes>
    <Called xmlns="e5873d33-56ae-40f9-8b97-64a660b0ab54">true</Call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B14B20ECE6144FBD50D036D694871E" ma:contentTypeVersion="20" ma:contentTypeDescription="Create a new document." ma:contentTypeScope="" ma:versionID="9f7603a4084cc55b4dcfac64854be724">
  <xsd:schema xmlns:xsd="http://www.w3.org/2001/XMLSchema" xmlns:xs="http://www.w3.org/2001/XMLSchema" xmlns:p="http://schemas.microsoft.com/office/2006/metadata/properties" xmlns:ns2="e5873d33-56ae-40f9-8b97-64a660b0ab54" xmlns:ns3="b3aa22f9-cc7b-464c-a307-4f3ca8762b12" targetNamespace="http://schemas.microsoft.com/office/2006/metadata/properties" ma:root="true" ma:fieldsID="4648b9eb8a037d3779e821281768118f" ns2:_="" ns3:_="">
    <xsd:import namespace="e5873d33-56ae-40f9-8b97-64a660b0ab54"/>
    <xsd:import namespace="b3aa22f9-cc7b-464c-a307-4f3ca8762b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alled"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Bnote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3d33-56ae-40f9-8b97-64a660b0a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alled" ma:index="14" nillable="true" ma:displayName="Called " ma:default="1" ma:format="Dropdown" ma:internalName="Called">
      <xsd:simpleType>
        <xsd:restriction base="dms:Boolea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notes" ma:index="21" nillable="true" ma:displayName="AB notes" ma:default="Not checked" ma:description="Alex's notes and/or thoughts" ma:format="Dropdown" ma:internalName="AB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0601bce-ad95-483f-b011-c1c543928881"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22f9-cc7b-464c-a307-4f3ca8762b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d4f1bdc-5c6f-4193-929c-f8c9f9399563}" ma:internalName="TaxCatchAll" ma:showField="CatchAllData" ma:web="b3aa22f9-cc7b-464c-a307-4f3ca8762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4E8AB-5122-492C-9819-C25A65BC0A18}">
  <ds:schemaRefs>
    <ds:schemaRef ds:uri="http://schemas.microsoft.com/office/2006/metadata/properties"/>
    <ds:schemaRef ds:uri="http://schemas.microsoft.com/office/infopath/2007/PartnerControls"/>
    <ds:schemaRef ds:uri="65367d0b-6b95-4f86-8389-3282b3846db3"/>
    <ds:schemaRef ds:uri="b3aa22f9-cc7b-464c-a307-4f3ca8762b12"/>
  </ds:schemaRefs>
</ds:datastoreItem>
</file>

<file path=customXml/itemProps2.xml><?xml version="1.0" encoding="utf-8"?>
<ds:datastoreItem xmlns:ds="http://schemas.openxmlformats.org/officeDocument/2006/customXml" ds:itemID="{C3E9C708-73CC-4AAB-B6D1-A0D6E86D06C0}">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DBD6097A-DD7B-44FD-9745-CFB2DE6542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Alex Braithwaite</lastModifiedBy>
  <revision>6</revision>
  <dcterms:created xsi:type="dcterms:W3CDTF">2025-07-23T07:19:00.0000000Z</dcterms:created>
  <dcterms:modified xsi:type="dcterms:W3CDTF">2026-05-01T09:37:59.9238501Z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0x01010019B14B20ECE6144FBD50D036D694871E</vt:lpwstr>
  </property>
  <property fmtid="{D5CDD505-2E9C-101B-9397-08002B2CF9AE}" pid="3" name="MediaServiceImageTags">
    <vt:lpwstr/>
  </property>
</Properties>
</file>