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871" w:rsidP="3797330F" w:rsidRDefault="00621588" w14:paraId="1124150E" w14:textId="00AD69BF">
      <w:pPr>
        <w:pStyle w:val="Title"/>
        <w:rPr>
          <w:rFonts w:ascii="Arial" w:hAnsi="Arial" w:eastAsia="Arial" w:cs="Arial"/>
        </w:rPr>
      </w:pPr>
      <w:r>
        <w:rPr>
          <w:rFonts w:ascii="Arial" w:hAnsi="Arial" w:eastAsia="Arial" w:cs="Arial"/>
        </w:rPr>
        <w:t xml:space="preserve"> </w:t>
      </w:r>
      <w:r w:rsidRPr="3797330F" w:rsidR="006704B0">
        <w:rPr>
          <w:rFonts w:ascii="Arial" w:hAnsi="Arial" w:eastAsia="Arial" w:cs="Arial"/>
        </w:rPr>
        <w:t>Grad2Teach Conflicts of Interest Policy</w:t>
      </w:r>
    </w:p>
    <w:tbl>
      <w:tblPr>
        <w:tblStyle w:val="TableGrid"/>
        <w:tblW w:w="0" w:type="auto"/>
        <w:tblLook w:val="04A0" w:firstRow="1" w:lastRow="0" w:firstColumn="1" w:lastColumn="0" w:noHBand="0" w:noVBand="1"/>
      </w:tblPr>
      <w:tblGrid>
        <w:gridCol w:w="2160"/>
        <w:gridCol w:w="2160"/>
        <w:gridCol w:w="2160"/>
        <w:gridCol w:w="2160"/>
      </w:tblGrid>
      <w:tr w:rsidR="006704B0" w:rsidTr="6CB7A621" w14:paraId="3491D391" w14:textId="77777777">
        <w:tc>
          <w:tcPr>
            <w:tcW w:w="2160" w:type="dxa"/>
            <w:tcMar/>
          </w:tcPr>
          <w:p w:rsidR="006704B0" w:rsidP="3797330F" w:rsidRDefault="006704B0" w14:paraId="30523943" w14:textId="77777777">
            <w:pPr>
              <w:rPr>
                <w:rFonts w:ascii="Arial" w:hAnsi="Arial" w:eastAsia="Arial" w:cs="Arial"/>
              </w:rPr>
            </w:pPr>
            <w:r w:rsidRPr="3797330F">
              <w:rPr>
                <w:rFonts w:ascii="Arial" w:hAnsi="Arial" w:eastAsia="Arial" w:cs="Arial"/>
              </w:rPr>
              <w:t>Policy Number</w:t>
            </w:r>
          </w:p>
        </w:tc>
        <w:tc>
          <w:tcPr>
            <w:tcW w:w="2160" w:type="dxa"/>
            <w:tcMar/>
          </w:tcPr>
          <w:p w:rsidR="006704B0" w:rsidP="3797330F" w:rsidRDefault="006704B0" w14:paraId="5D6B853F" w14:textId="77777777">
            <w:pPr>
              <w:rPr>
                <w:rFonts w:ascii="Arial" w:hAnsi="Arial" w:eastAsia="Arial" w:cs="Arial"/>
              </w:rPr>
            </w:pPr>
            <w:r w:rsidRPr="3797330F">
              <w:rPr>
                <w:rFonts w:ascii="Arial" w:hAnsi="Arial" w:eastAsia="Arial" w:cs="Arial"/>
              </w:rPr>
              <w:t>Version</w:t>
            </w:r>
          </w:p>
        </w:tc>
        <w:tc>
          <w:tcPr>
            <w:tcW w:w="2160" w:type="dxa"/>
            <w:tcMar/>
          </w:tcPr>
          <w:p w:rsidR="006704B0" w:rsidP="3797330F" w:rsidRDefault="006704B0" w14:paraId="00E3ADCA" w14:textId="77777777">
            <w:pPr>
              <w:rPr>
                <w:rFonts w:ascii="Arial" w:hAnsi="Arial" w:eastAsia="Arial" w:cs="Arial"/>
              </w:rPr>
            </w:pPr>
            <w:r w:rsidRPr="3797330F">
              <w:rPr>
                <w:rFonts w:ascii="Arial" w:hAnsi="Arial" w:eastAsia="Arial" w:cs="Arial"/>
              </w:rPr>
              <w:t>Issue Date</w:t>
            </w:r>
          </w:p>
        </w:tc>
        <w:tc>
          <w:tcPr>
            <w:tcW w:w="2160" w:type="dxa"/>
            <w:tcMar/>
          </w:tcPr>
          <w:p w:rsidR="006704B0" w:rsidP="3797330F" w:rsidRDefault="006704B0" w14:paraId="398EC113" w14:textId="77777777">
            <w:pPr>
              <w:rPr>
                <w:rFonts w:ascii="Arial" w:hAnsi="Arial" w:eastAsia="Arial" w:cs="Arial"/>
              </w:rPr>
            </w:pPr>
            <w:r w:rsidRPr="3797330F">
              <w:rPr>
                <w:rFonts w:ascii="Arial" w:hAnsi="Arial" w:eastAsia="Arial" w:cs="Arial"/>
              </w:rPr>
              <w:t>Review Date</w:t>
            </w:r>
          </w:p>
        </w:tc>
      </w:tr>
      <w:tr w:rsidR="006704B0" w:rsidTr="6CB7A621" w14:paraId="708CDBA9" w14:textId="77777777">
        <w:tc>
          <w:tcPr>
            <w:tcW w:w="2160" w:type="dxa"/>
            <w:tcMar/>
          </w:tcPr>
          <w:p w:rsidR="006704B0" w:rsidP="3797330F" w:rsidRDefault="006704B0" w14:paraId="596E2290" w14:textId="0CF47D23">
            <w:pPr>
              <w:rPr>
                <w:rFonts w:ascii="Arial" w:hAnsi="Arial" w:eastAsia="Arial" w:cs="Arial"/>
              </w:rPr>
            </w:pPr>
            <w:r w:rsidRPr="540C6EC0" w:rsidR="006704B0">
              <w:rPr>
                <w:rFonts w:ascii="Arial" w:hAnsi="Arial" w:eastAsia="Arial" w:cs="Arial"/>
              </w:rPr>
              <w:t>G2T-PMO-03.02.</w:t>
            </w:r>
            <w:r w:rsidRPr="540C6EC0" w:rsidR="155976BB">
              <w:rPr>
                <w:rFonts w:ascii="Arial" w:hAnsi="Arial" w:eastAsia="Arial" w:cs="Arial"/>
              </w:rPr>
              <w:t>65</w:t>
            </w:r>
          </w:p>
        </w:tc>
        <w:tc>
          <w:tcPr>
            <w:tcW w:w="2160" w:type="dxa"/>
            <w:tcMar/>
          </w:tcPr>
          <w:p w:rsidR="006704B0" w:rsidP="3797330F" w:rsidRDefault="006704B0" w14:paraId="7130D3B0" w14:textId="799205B2">
            <w:pPr>
              <w:rPr>
                <w:rFonts w:ascii="Arial" w:hAnsi="Arial" w:eastAsia="Arial" w:cs="Arial"/>
              </w:rPr>
            </w:pPr>
            <w:r w:rsidRPr="4492F789" w:rsidR="007776E5">
              <w:rPr>
                <w:rFonts w:ascii="Arial" w:hAnsi="Arial" w:eastAsia="Arial" w:cs="Arial"/>
              </w:rPr>
              <w:t>2.1</w:t>
            </w:r>
          </w:p>
        </w:tc>
        <w:tc>
          <w:tcPr>
            <w:tcW w:w="2160" w:type="dxa"/>
            <w:tcMar/>
          </w:tcPr>
          <w:p w:rsidR="006704B0" w:rsidP="4492F789" w:rsidRDefault="09EC7F66" w14:paraId="7935FDEC" w14:textId="4B355649">
            <w:pPr>
              <w:rPr>
                <w:rFonts w:ascii="Arial" w:hAnsi="Arial" w:eastAsia="Arial" w:cs="Arial"/>
              </w:rPr>
            </w:pPr>
            <w:r w:rsidRPr="4492F789" w:rsidR="09EC7F66">
              <w:rPr>
                <w:rFonts w:ascii="Arial" w:hAnsi="Arial" w:eastAsia="Arial" w:cs="Arial"/>
              </w:rPr>
              <w:t>22.</w:t>
            </w:r>
            <w:r w:rsidRPr="4492F789" w:rsidR="53BF5821">
              <w:rPr>
                <w:rFonts w:ascii="Arial" w:hAnsi="Arial" w:eastAsia="Arial" w:cs="Arial"/>
              </w:rPr>
              <w:t>04.2026</w:t>
            </w:r>
          </w:p>
        </w:tc>
        <w:tc>
          <w:tcPr>
            <w:tcW w:w="2160" w:type="dxa"/>
            <w:tcMar/>
          </w:tcPr>
          <w:p w:rsidR="006704B0" w:rsidP="3797330F" w:rsidRDefault="0497F44D" w14:paraId="275B31A9" w14:textId="56C2C7C5">
            <w:pPr>
              <w:rPr>
                <w:rFonts w:ascii="Arial" w:hAnsi="Arial" w:eastAsia="Arial" w:cs="Arial"/>
              </w:rPr>
            </w:pPr>
            <w:r w:rsidRPr="6CB7A621" w:rsidR="0497F44D">
              <w:rPr>
                <w:rFonts w:ascii="Arial" w:hAnsi="Arial" w:eastAsia="Arial" w:cs="Arial"/>
              </w:rPr>
              <w:t>2</w:t>
            </w:r>
            <w:r w:rsidRPr="6CB7A621" w:rsidR="41C97028">
              <w:rPr>
                <w:rFonts w:ascii="Arial" w:hAnsi="Arial" w:eastAsia="Arial" w:cs="Arial"/>
              </w:rPr>
              <w:t>6</w:t>
            </w:r>
            <w:r w:rsidRPr="6CB7A621" w:rsidR="0497F44D">
              <w:rPr>
                <w:rFonts w:ascii="Arial" w:hAnsi="Arial" w:eastAsia="Arial" w:cs="Arial"/>
              </w:rPr>
              <w:t>.</w:t>
            </w:r>
            <w:r w:rsidRPr="6CB7A621" w:rsidR="4CF02402">
              <w:rPr>
                <w:rFonts w:ascii="Arial" w:hAnsi="Arial" w:eastAsia="Arial" w:cs="Arial"/>
              </w:rPr>
              <w:t>0</w:t>
            </w:r>
            <w:r w:rsidRPr="6CB7A621" w:rsidR="32B91F36">
              <w:rPr>
                <w:rFonts w:ascii="Arial" w:hAnsi="Arial" w:eastAsia="Arial" w:cs="Arial"/>
              </w:rPr>
              <w:t>8</w:t>
            </w:r>
            <w:r w:rsidRPr="6CB7A621" w:rsidR="0497F44D">
              <w:rPr>
                <w:rFonts w:ascii="Arial" w:hAnsi="Arial" w:eastAsia="Arial" w:cs="Arial"/>
              </w:rPr>
              <w:t>.20</w:t>
            </w:r>
            <w:r w:rsidRPr="6CB7A621" w:rsidR="002B44B6">
              <w:rPr>
                <w:rFonts w:ascii="Arial" w:hAnsi="Arial" w:eastAsia="Arial" w:cs="Arial"/>
              </w:rPr>
              <w:t>26</w:t>
            </w:r>
          </w:p>
        </w:tc>
      </w:tr>
    </w:tbl>
    <w:p w:rsidR="540C6EC0" w:rsidP="540C6EC0" w:rsidRDefault="540C6EC0" w14:paraId="3359C6C8" w14:textId="4CBC847A">
      <w:pPr>
        <w:pStyle w:val="Normal"/>
        <w:suppressLineNumbers w:val="0"/>
        <w:bidi w:val="0"/>
        <w:spacing w:before="0" w:beforeAutospacing="off" w:after="200" w:afterAutospacing="off" w:line="276" w:lineRule="auto"/>
        <w:ind w:left="0" w:right="0"/>
        <w:jc w:val="left"/>
        <w:rPr>
          <w:rFonts w:ascii="Arial" w:hAnsi="Arial" w:eastAsia="Arial" w:cs="Arial"/>
        </w:rPr>
      </w:pPr>
    </w:p>
    <w:p w:rsidR="006704B0" w:rsidP="540C6EC0" w:rsidRDefault="006704B0" w14:paraId="66D3D63B" w14:textId="2B7D19B0">
      <w:pPr>
        <w:pStyle w:val="Normal"/>
        <w:suppressLineNumbers w:val="0"/>
        <w:bidi w:val="0"/>
        <w:spacing w:before="0" w:beforeAutospacing="off" w:after="200" w:afterAutospacing="off" w:line="276" w:lineRule="auto"/>
        <w:ind w:left="0" w:right="0"/>
        <w:jc w:val="left"/>
        <w:rPr>
          <w:rFonts w:ascii="Arial" w:hAnsi="Arial" w:eastAsia="Arial" w:cs="Arial"/>
        </w:rPr>
      </w:pPr>
      <w:r w:rsidRPr="540C6EC0" w:rsidR="006704B0">
        <w:rPr>
          <w:rFonts w:ascii="Arial" w:hAnsi="Arial" w:eastAsia="Arial" w:cs="Arial"/>
        </w:rPr>
        <w:t xml:space="preserve">Approved By: </w:t>
      </w:r>
      <w:r w:rsidRPr="540C6EC0" w:rsidR="0DA1499E">
        <w:rPr>
          <w:rFonts w:ascii="Arial" w:hAnsi="Arial" w:eastAsia="Arial" w:cs="Arial"/>
        </w:rPr>
        <w:t>Course Manager</w:t>
      </w:r>
      <w:r w:rsidRPr="540C6EC0" w:rsidR="43182B61">
        <w:rPr>
          <w:rFonts w:ascii="Arial" w:hAnsi="Arial" w:eastAsia="Arial" w:cs="Arial"/>
        </w:rPr>
        <w:t xml:space="preserve"> </w:t>
      </w:r>
    </w:p>
    <w:p w:rsidRPr="006704B0" w:rsidR="006704B0" w:rsidP="3797330F" w:rsidRDefault="006704B0" w14:paraId="0FF7CBCD" w14:textId="287DD646">
      <w:pPr>
        <w:rPr>
          <w:rFonts w:ascii="Arial" w:hAnsi="Arial" w:eastAsia="Arial" w:cs="Arial"/>
        </w:rPr>
      </w:pPr>
      <w:r w:rsidRPr="4492F789" w:rsidR="006704B0">
        <w:rPr>
          <w:rFonts w:ascii="Arial" w:hAnsi="Arial" w:eastAsia="Arial" w:cs="Arial"/>
        </w:rPr>
        <w:t xml:space="preserve">Owner: </w:t>
      </w:r>
      <w:r w:rsidRPr="4492F789" w:rsidR="5AF9CAF9">
        <w:rPr>
          <w:rFonts w:ascii="Arial" w:hAnsi="Arial" w:eastAsia="Arial" w:cs="Arial"/>
        </w:rPr>
        <w:t xml:space="preserve">Managing </w:t>
      </w:r>
      <w:r w:rsidRPr="4492F789" w:rsidR="006704B0">
        <w:rPr>
          <w:rFonts w:ascii="Arial" w:hAnsi="Arial" w:eastAsia="Arial" w:cs="Arial"/>
        </w:rPr>
        <w:t xml:space="preserve">Director </w:t>
      </w:r>
      <w:r w:rsidRPr="4492F789" w:rsidR="60D75135">
        <w:rPr>
          <w:rFonts w:ascii="Arial" w:hAnsi="Arial" w:eastAsia="Arial" w:cs="Arial"/>
        </w:rPr>
        <w:t>[Compliance Lead]</w:t>
      </w:r>
    </w:p>
    <w:p w:rsidR="00DB0871" w:rsidP="3797330F" w:rsidRDefault="006704B0" w14:paraId="65BF9D8F" w14:textId="77777777">
      <w:pPr>
        <w:pStyle w:val="Heading1"/>
        <w:rPr>
          <w:rFonts w:ascii="Arial" w:hAnsi="Arial" w:eastAsia="Arial" w:cs="Arial"/>
        </w:rPr>
      </w:pPr>
      <w:r w:rsidRPr="3797330F">
        <w:rPr>
          <w:rFonts w:ascii="Arial" w:hAnsi="Arial" w:eastAsia="Arial" w:cs="Arial"/>
        </w:rPr>
        <w:t>1. Purpose</w:t>
      </w:r>
    </w:p>
    <w:p w:rsidR="00184628" w:rsidP="3797330F" w:rsidRDefault="006704B0" w14:paraId="3EABA57C" w14:textId="77777777">
      <w:pPr>
        <w:pStyle w:val="ListParagraph"/>
        <w:numPr>
          <w:ilvl w:val="0"/>
          <w:numId w:val="10"/>
        </w:numPr>
        <w:rPr>
          <w:rFonts w:ascii="Arial" w:hAnsi="Arial" w:eastAsia="Arial" w:cs="Arial"/>
        </w:rPr>
      </w:pPr>
      <w:r w:rsidRPr="3797330F">
        <w:rPr>
          <w:rFonts w:ascii="Arial" w:hAnsi="Arial" w:eastAsia="Arial" w:cs="Arial"/>
        </w:rPr>
        <w:t>This policy sets out how Grad2Teach identifies, manages, and mitigates conflicts of interest in line with:</w:t>
      </w:r>
    </w:p>
    <w:p w:rsidR="00184628" w:rsidP="3797330F" w:rsidRDefault="006704B0" w14:paraId="373C89D1" w14:textId="77777777">
      <w:pPr>
        <w:pStyle w:val="ListParagraph"/>
        <w:numPr>
          <w:ilvl w:val="0"/>
          <w:numId w:val="10"/>
        </w:numPr>
        <w:rPr>
          <w:rFonts w:ascii="Arial" w:hAnsi="Arial" w:eastAsia="Arial" w:cs="Arial"/>
        </w:rPr>
      </w:pPr>
      <w:r w:rsidRPr="3797330F">
        <w:rPr>
          <w:rFonts w:ascii="Arial" w:hAnsi="Arial" w:eastAsia="Arial" w:cs="Arial"/>
        </w:rPr>
        <w:t>NCFE’s Customised Qualification Approval Criteria</w:t>
      </w:r>
    </w:p>
    <w:p w:rsidR="00184628" w:rsidP="3797330F" w:rsidRDefault="006704B0" w14:paraId="57ED695D" w14:textId="77777777">
      <w:pPr>
        <w:pStyle w:val="ListParagraph"/>
        <w:numPr>
          <w:ilvl w:val="0"/>
          <w:numId w:val="10"/>
        </w:numPr>
        <w:rPr>
          <w:rFonts w:ascii="Arial" w:hAnsi="Arial" w:eastAsia="Arial" w:cs="Arial"/>
        </w:rPr>
      </w:pPr>
      <w:r w:rsidRPr="3797330F">
        <w:rPr>
          <w:rFonts w:ascii="Arial" w:hAnsi="Arial" w:eastAsia="Arial" w:cs="Arial"/>
        </w:rPr>
        <w:t>Ofqual’s General Conditions of Recognition (Condition A4)</w:t>
      </w:r>
    </w:p>
    <w:p w:rsidR="00DB0871" w:rsidP="3797330F" w:rsidRDefault="006704B0" w14:paraId="030C6FBD" w14:textId="207E9C19">
      <w:pPr>
        <w:rPr>
          <w:rFonts w:ascii="Arial" w:hAnsi="Arial" w:eastAsia="Arial" w:cs="Arial"/>
        </w:rPr>
      </w:pPr>
      <w:r w:rsidRPr="078DAB98">
        <w:rPr>
          <w:rFonts w:ascii="Arial" w:hAnsi="Arial" w:eastAsia="Arial" w:cs="Arial"/>
        </w:rPr>
        <w:t>The aim is to ensure assessments, decisions, and operational processes are fair and unbiased.</w:t>
      </w:r>
    </w:p>
    <w:p w:rsidR="00DB0871" w:rsidP="3797330F" w:rsidRDefault="006704B0" w14:paraId="0F2751A5" w14:textId="77777777">
      <w:pPr>
        <w:pStyle w:val="Heading1"/>
        <w:rPr>
          <w:rFonts w:ascii="Arial" w:hAnsi="Arial" w:eastAsia="Arial" w:cs="Arial"/>
        </w:rPr>
      </w:pPr>
      <w:r w:rsidRPr="3797330F">
        <w:rPr>
          <w:rFonts w:ascii="Arial" w:hAnsi="Arial" w:eastAsia="Arial" w:cs="Arial"/>
        </w:rPr>
        <w:t>2. Scope</w:t>
      </w:r>
    </w:p>
    <w:p w:rsidR="00DB0871" w:rsidP="3797330F" w:rsidRDefault="006704B0" w14:paraId="7273F252" w14:textId="77777777">
      <w:pPr>
        <w:rPr>
          <w:rFonts w:ascii="Arial" w:hAnsi="Arial" w:eastAsia="Arial" w:cs="Arial"/>
        </w:rPr>
      </w:pPr>
      <w:r w:rsidRPr="3797330F">
        <w:rPr>
          <w:rFonts w:ascii="Arial" w:hAnsi="Arial" w:eastAsia="Arial" w:cs="Arial"/>
        </w:rPr>
        <w:t>Applies to all Grad2Teach employees, contractors, assessors, IQAs, trainees, and partner schools.</w:t>
      </w:r>
    </w:p>
    <w:p w:rsidR="00DB0871" w:rsidP="3797330F" w:rsidRDefault="006704B0" w14:paraId="65241A4A" w14:textId="77777777">
      <w:pPr>
        <w:pStyle w:val="Heading1"/>
        <w:rPr>
          <w:rFonts w:ascii="Arial" w:hAnsi="Arial" w:eastAsia="Arial" w:cs="Arial"/>
        </w:rPr>
      </w:pPr>
      <w:r w:rsidRPr="3797330F">
        <w:rPr>
          <w:rFonts w:ascii="Arial" w:hAnsi="Arial" w:eastAsia="Arial" w:cs="Arial"/>
        </w:rPr>
        <w:t>3. Definition of Conflict of Interest</w:t>
      </w:r>
    </w:p>
    <w:p w:rsidR="00DB0871" w:rsidP="3797330F" w:rsidRDefault="006704B0" w14:paraId="3511754E" w14:textId="77777777">
      <w:pPr>
        <w:rPr>
          <w:rFonts w:ascii="Arial" w:hAnsi="Arial" w:eastAsia="Arial" w:cs="Arial"/>
        </w:rPr>
      </w:pPr>
      <w:r w:rsidRPr="3797330F">
        <w:rPr>
          <w:rFonts w:ascii="Arial" w:hAnsi="Arial" w:eastAsia="Arial" w:cs="Arial"/>
        </w:rPr>
        <w:t>A conflict of interest exists where an individual or organisation has competing interests that could compromise impartiality. Examples include assessing a relative, financial stakes, or recruitment influenced by personal relationships.</w:t>
      </w:r>
    </w:p>
    <w:p w:rsidR="00DB0871" w:rsidP="3797330F" w:rsidRDefault="006704B0" w14:paraId="79CE04CE" w14:textId="77777777">
      <w:pPr>
        <w:pStyle w:val="Heading1"/>
        <w:rPr>
          <w:rFonts w:ascii="Arial" w:hAnsi="Arial" w:eastAsia="Arial" w:cs="Arial"/>
        </w:rPr>
      </w:pPr>
      <w:r w:rsidRPr="3797330F">
        <w:rPr>
          <w:rFonts w:ascii="Arial" w:hAnsi="Arial" w:eastAsia="Arial" w:cs="Arial"/>
        </w:rPr>
        <w:t>4. Responsibilities</w:t>
      </w:r>
    </w:p>
    <w:p w:rsidR="008F1424" w:rsidP="0C540B82" w:rsidRDefault="006704B0" w14:paraId="2A5D6E9A" w14:textId="280F2A6B">
      <w:pPr>
        <w:pStyle w:val="Normal"/>
        <w:rPr>
          <w:rFonts w:ascii="Arial" w:hAnsi="Arial" w:eastAsia="Arial" w:cs="Arial"/>
        </w:rPr>
      </w:pPr>
      <w:r w:rsidRPr="0C540B82" w:rsidR="00FC86D8">
        <w:rPr>
          <w:rFonts w:ascii="Arial" w:hAnsi="Arial" w:eastAsia="Arial" w:cs="Arial"/>
        </w:rPr>
        <w:t>Responsibilities by team:</w:t>
      </w:r>
      <w:r>
        <w:br/>
      </w:r>
      <w:r>
        <w:br/>
      </w:r>
      <w:r w:rsidRPr="0C540B82" w:rsidR="00FC86D8">
        <w:rPr>
          <w:rFonts w:ascii="Arial" w:hAnsi="Arial" w:eastAsia="Arial" w:cs="Arial"/>
        </w:rPr>
        <w:t>• Course Management:</w:t>
      </w:r>
      <w:r>
        <w:br/>
      </w:r>
      <w:r w:rsidRPr="0C540B82" w:rsidR="00FC86D8">
        <w:rPr>
          <w:rFonts w:ascii="Arial" w:hAnsi="Arial" w:eastAsia="Arial" w:cs="Arial"/>
        </w:rPr>
        <w:t xml:space="preserve">  - Ensure trainee placement and progression decisions are impartial.</w:t>
      </w:r>
      <w:r>
        <w:br/>
      </w:r>
      <w:r w:rsidRPr="0C540B82" w:rsidR="00FC86D8">
        <w:rPr>
          <w:rFonts w:ascii="Arial" w:hAnsi="Arial" w:eastAsia="Arial" w:cs="Arial"/>
        </w:rPr>
        <w:t xml:space="preserve">  - </w:t>
      </w:r>
      <w:r w:rsidRPr="0C540B82" w:rsidR="0E1F7B02">
        <w:rPr>
          <w:rFonts w:ascii="Arial" w:hAnsi="Arial" w:eastAsia="Arial" w:cs="Arial"/>
        </w:rPr>
        <w:t>Identify</w:t>
      </w:r>
      <w:r w:rsidRPr="0C540B82" w:rsidR="0E1F7B02">
        <w:rPr>
          <w:rFonts w:ascii="Arial" w:hAnsi="Arial" w:eastAsia="Arial" w:cs="Arial"/>
        </w:rPr>
        <w:t xml:space="preserve"> and d</w:t>
      </w:r>
      <w:r w:rsidRPr="0C540B82" w:rsidR="00FC86D8">
        <w:rPr>
          <w:rFonts w:ascii="Arial" w:hAnsi="Arial" w:eastAsia="Arial" w:cs="Arial"/>
        </w:rPr>
        <w:t>eclare any interests affecting operations or training decisions.</w:t>
      </w:r>
      <w:r>
        <w:br/>
      </w:r>
      <w:r>
        <w:br/>
      </w:r>
      <w:r w:rsidRPr="0C540B82" w:rsidR="00FC86D8">
        <w:rPr>
          <w:rFonts w:ascii="Arial" w:hAnsi="Arial" w:eastAsia="Arial" w:cs="Arial"/>
        </w:rPr>
        <w:t>• Training Team (</w:t>
      </w:r>
      <w:r w:rsidRPr="0C540B82" w:rsidR="00FC86D8">
        <w:rPr>
          <w:rFonts w:ascii="Arial" w:hAnsi="Arial" w:eastAsia="Arial" w:cs="Arial"/>
        </w:rPr>
        <w:t>Programme</w:t>
      </w:r>
      <w:r w:rsidRPr="0C540B82" w:rsidR="00FC86D8">
        <w:rPr>
          <w:rFonts w:ascii="Arial" w:hAnsi="Arial" w:eastAsia="Arial" w:cs="Arial"/>
        </w:rPr>
        <w:t xml:space="preserve"> Leads, Coordinators, Assessors):</w:t>
      </w:r>
      <w:r>
        <w:br/>
      </w:r>
      <w:r w:rsidRPr="0C540B82" w:rsidR="00FC86D8">
        <w:rPr>
          <w:rFonts w:ascii="Arial" w:hAnsi="Arial" w:eastAsia="Arial" w:cs="Arial"/>
        </w:rPr>
        <w:t xml:space="preserve">  - </w:t>
      </w:r>
      <w:r w:rsidRPr="0C540B82" w:rsidR="12B4CF5D">
        <w:rPr>
          <w:rFonts w:ascii="Arial" w:hAnsi="Arial" w:eastAsia="Arial" w:cs="Arial"/>
        </w:rPr>
        <w:t>Identify</w:t>
      </w:r>
      <w:r w:rsidRPr="0C540B82" w:rsidR="12B4CF5D">
        <w:rPr>
          <w:rFonts w:ascii="Arial" w:hAnsi="Arial" w:eastAsia="Arial" w:cs="Arial"/>
        </w:rPr>
        <w:t xml:space="preserve"> and declare any interests affecting operations or training decisions.</w:t>
      </w:r>
    </w:p>
    <w:p w:rsidR="008F1424" w:rsidP="0C540B82" w:rsidRDefault="006704B0" w14:paraId="504D4EDA" w14:textId="0E13E5F3">
      <w:pPr>
        <w:pStyle w:val="Normal"/>
        <w:rPr>
          <w:rFonts w:ascii="Arial" w:hAnsi="Arial" w:eastAsia="Arial" w:cs="Arial"/>
        </w:rPr>
      </w:pPr>
      <w:r w:rsidRPr="0C540B82" w:rsidR="12B4CF5D">
        <w:rPr>
          <w:rFonts w:ascii="Arial" w:hAnsi="Arial" w:eastAsia="Arial" w:cs="Arial"/>
        </w:rPr>
        <w:t xml:space="preserve"> - </w:t>
      </w:r>
      <w:r w:rsidRPr="0C540B82" w:rsidR="00FC86D8">
        <w:rPr>
          <w:rFonts w:ascii="Arial" w:hAnsi="Arial" w:eastAsia="Arial" w:cs="Arial"/>
        </w:rPr>
        <w:t>Avoid assessing or moderating where a COI exists.</w:t>
      </w:r>
      <w:r>
        <w:br/>
      </w:r>
      <w:r w:rsidRPr="0C540B82" w:rsidR="00FC86D8">
        <w:rPr>
          <w:rFonts w:ascii="Arial" w:hAnsi="Arial" w:eastAsia="Arial" w:cs="Arial"/>
        </w:rPr>
        <w:t xml:space="preserve">  - </w:t>
      </w:r>
      <w:r w:rsidRPr="0C540B82" w:rsidR="00FC86D8">
        <w:rPr>
          <w:rFonts w:ascii="Arial" w:hAnsi="Arial" w:eastAsia="Arial" w:cs="Arial"/>
        </w:rPr>
        <w:t>Maintain</w:t>
      </w:r>
      <w:r w:rsidRPr="0C540B82" w:rsidR="00FC86D8">
        <w:rPr>
          <w:rFonts w:ascii="Arial" w:hAnsi="Arial" w:eastAsia="Arial" w:cs="Arial"/>
        </w:rPr>
        <w:t xml:space="preserve"> objective standards in observations and feedback.</w:t>
      </w:r>
      <w:r>
        <w:br/>
      </w:r>
      <w:r>
        <w:br/>
      </w:r>
      <w:r w:rsidRPr="0C540B82" w:rsidR="00FC86D8">
        <w:rPr>
          <w:rFonts w:ascii="Arial" w:hAnsi="Arial" w:eastAsia="Arial" w:cs="Arial"/>
        </w:rPr>
        <w:t>• Partnerships &amp; Pastoral Team:</w:t>
      </w:r>
      <w:r>
        <w:br/>
      </w:r>
      <w:r w:rsidRPr="0C540B82" w:rsidR="00FC86D8">
        <w:rPr>
          <w:rFonts w:ascii="Arial" w:hAnsi="Arial" w:eastAsia="Arial" w:cs="Arial"/>
        </w:rPr>
        <w:t xml:space="preserve">  - </w:t>
      </w:r>
      <w:r w:rsidRPr="0C540B82" w:rsidR="00FC86D8">
        <w:rPr>
          <w:rFonts w:ascii="Arial" w:hAnsi="Arial" w:eastAsia="Arial" w:cs="Arial"/>
        </w:rPr>
        <w:t>Disclose</w:t>
      </w:r>
      <w:r w:rsidRPr="0C540B82" w:rsidR="00FC86D8">
        <w:rPr>
          <w:rFonts w:ascii="Arial" w:hAnsi="Arial" w:eastAsia="Arial" w:cs="Arial"/>
        </w:rPr>
        <w:t xml:space="preserve"> relationships that influence mentoring or placement.</w:t>
      </w:r>
      <w:r>
        <w:br/>
      </w:r>
      <w:r w:rsidRPr="0C540B82" w:rsidR="00FC86D8">
        <w:rPr>
          <w:rFonts w:ascii="Arial" w:hAnsi="Arial" w:eastAsia="Arial" w:cs="Arial"/>
        </w:rPr>
        <w:t xml:space="preserve">  - </w:t>
      </w:r>
      <w:r w:rsidRPr="0C540B82" w:rsidR="00FC86D8">
        <w:rPr>
          <w:rFonts w:ascii="Arial" w:hAnsi="Arial" w:eastAsia="Arial" w:cs="Arial"/>
        </w:rPr>
        <w:t>Prioritise</w:t>
      </w:r>
      <w:r w:rsidRPr="0C540B82" w:rsidR="00FC86D8">
        <w:rPr>
          <w:rFonts w:ascii="Arial" w:hAnsi="Arial" w:eastAsia="Arial" w:cs="Arial"/>
        </w:rPr>
        <w:t xml:space="preserve"> trainee welfare and fairness.</w:t>
      </w:r>
      <w:r>
        <w:br/>
      </w:r>
      <w:r>
        <w:br/>
      </w:r>
      <w:r w:rsidRPr="0C540B82" w:rsidR="00FC86D8">
        <w:rPr>
          <w:rFonts w:ascii="Arial" w:hAnsi="Arial" w:eastAsia="Arial" w:cs="Arial"/>
        </w:rPr>
        <w:t>• IT, Operations and Marketing:</w:t>
      </w:r>
      <w:r>
        <w:br/>
      </w:r>
      <w:r w:rsidRPr="0C540B82" w:rsidR="00FC86D8">
        <w:rPr>
          <w:rFonts w:ascii="Arial" w:hAnsi="Arial" w:eastAsia="Arial" w:cs="Arial"/>
        </w:rPr>
        <w:t xml:space="preserve">  - Uphold data protection and avoid conflicts in procurement or promotion.</w:t>
      </w:r>
      <w:r>
        <w:br/>
      </w:r>
      <w:r w:rsidRPr="0C540B82" w:rsidR="00FC86D8">
        <w:rPr>
          <w:rFonts w:ascii="Arial" w:hAnsi="Arial" w:eastAsia="Arial" w:cs="Arial"/>
        </w:rPr>
        <w:t xml:space="preserve">  - Refrain from personal or financial gain using Grad2Teach platforms.</w:t>
      </w:r>
      <w:r>
        <w:br/>
      </w:r>
      <w:r>
        <w:br/>
      </w:r>
      <w:r w:rsidRPr="0C540B82" w:rsidR="00FC86D8">
        <w:rPr>
          <w:rFonts w:ascii="Arial" w:hAnsi="Arial" w:eastAsia="Arial" w:cs="Arial"/>
        </w:rPr>
        <w:t>• Board of Directors:</w:t>
      </w:r>
      <w:r>
        <w:br/>
      </w:r>
      <w:r w:rsidRPr="0C540B82" w:rsidR="00FC86D8">
        <w:rPr>
          <w:rFonts w:ascii="Arial" w:hAnsi="Arial" w:eastAsia="Arial" w:cs="Arial"/>
        </w:rPr>
        <w:t xml:space="preserve">  - Provide strategic oversight without influencing assessment outcomes.</w:t>
      </w:r>
      <w:r>
        <w:br/>
      </w:r>
      <w:r w:rsidRPr="0C540B82" w:rsidR="00FC86D8">
        <w:rPr>
          <w:rFonts w:ascii="Arial" w:hAnsi="Arial" w:eastAsia="Arial" w:cs="Arial"/>
        </w:rPr>
        <w:t xml:space="preserve">  - Declare any external interests linked to the </w:t>
      </w:r>
      <w:r w:rsidRPr="0C540B82" w:rsidR="00FC86D8">
        <w:rPr>
          <w:rFonts w:ascii="Arial" w:hAnsi="Arial" w:eastAsia="Arial" w:cs="Arial"/>
        </w:rPr>
        <w:t>organisation</w:t>
      </w:r>
      <w:r w:rsidRPr="0C540B82" w:rsidR="00FC86D8">
        <w:rPr>
          <w:rFonts w:ascii="Arial" w:hAnsi="Arial" w:eastAsia="Arial" w:cs="Arial"/>
        </w:rPr>
        <w:t>.</w:t>
      </w:r>
    </w:p>
    <w:p w:rsidR="008F1424" w:rsidP="3797330F" w:rsidRDefault="006704B0" w14:paraId="40D6E214" w14:textId="77777777">
      <w:pPr>
        <w:rPr>
          <w:rFonts w:ascii="Arial" w:hAnsi="Arial" w:eastAsia="Arial" w:cs="Arial"/>
        </w:rPr>
      </w:pPr>
      <w:r w:rsidRPr="3797330F">
        <w:rPr>
          <w:rFonts w:ascii="Arial" w:hAnsi="Arial" w:eastAsia="Arial" w:cs="Arial"/>
        </w:rPr>
        <w:t>All Grad2Teach staff and individuals working with Grad2Teach e.g. Professional Assessors conduct themselves with integrity, ethics and have accountability for any activities carried out on behalf of Grad2Teach.</w:t>
      </w:r>
    </w:p>
    <w:p w:rsidR="008F1424" w:rsidP="3797330F" w:rsidRDefault="006704B0" w14:paraId="0EABEDCA" w14:textId="77777777">
      <w:pPr>
        <w:rPr>
          <w:rFonts w:ascii="Arial" w:hAnsi="Arial" w:eastAsia="Arial" w:cs="Arial"/>
        </w:rPr>
      </w:pPr>
      <w:r w:rsidRPr="3797330F">
        <w:rPr>
          <w:rFonts w:ascii="Arial" w:hAnsi="Arial" w:eastAsia="Arial" w:cs="Arial"/>
        </w:rPr>
        <w:t>All Grad2Teach staff and individuals working with Grad2Teach (e.g. Professional Assessors) must conduct themselves with integrity, uphold ethical standards, and take accountability for any activities carried out on behalf of Grad2Teach.</w:t>
      </w:r>
    </w:p>
    <w:p w:rsidR="00184628" w:rsidP="3797330F" w:rsidRDefault="006704B0" w14:paraId="6640FE6D" w14:textId="77777777">
      <w:pPr>
        <w:pStyle w:val="ListParagraph"/>
        <w:numPr>
          <w:ilvl w:val="0"/>
          <w:numId w:val="11"/>
        </w:numPr>
        <w:rPr>
          <w:rFonts w:ascii="Arial" w:hAnsi="Arial" w:eastAsia="Arial" w:cs="Arial"/>
        </w:rPr>
      </w:pPr>
      <w:r w:rsidRPr="3797330F">
        <w:rPr>
          <w:rFonts w:ascii="Arial" w:hAnsi="Arial" w:eastAsia="Arial" w:cs="Arial"/>
        </w:rPr>
        <w:t>All staff must declare actual or potential COIs.</w:t>
      </w:r>
    </w:p>
    <w:p w:rsidR="00184628" w:rsidP="3797330F" w:rsidRDefault="006704B0" w14:paraId="39613DA8" w14:textId="77777777">
      <w:pPr>
        <w:pStyle w:val="ListParagraph"/>
        <w:numPr>
          <w:ilvl w:val="0"/>
          <w:numId w:val="11"/>
        </w:numPr>
        <w:rPr>
          <w:rFonts w:ascii="Arial" w:hAnsi="Arial" w:eastAsia="Arial" w:cs="Arial"/>
        </w:rPr>
      </w:pPr>
      <w:r w:rsidRPr="3797330F">
        <w:rPr>
          <w:rFonts w:ascii="Arial" w:hAnsi="Arial" w:eastAsia="Arial" w:cs="Arial"/>
        </w:rPr>
        <w:t>Grad2Teach maintains the COI register and investigates reports.</w:t>
      </w:r>
    </w:p>
    <w:p w:rsidR="00DB0871" w:rsidP="3797330F" w:rsidRDefault="006704B0" w14:paraId="6F9B3A02" w14:textId="640BF274">
      <w:pPr>
        <w:pStyle w:val="ListParagraph"/>
        <w:numPr>
          <w:ilvl w:val="0"/>
          <w:numId w:val="11"/>
        </w:numPr>
        <w:rPr>
          <w:rFonts w:ascii="Arial" w:hAnsi="Arial" w:eastAsia="Arial" w:cs="Arial"/>
        </w:rPr>
      </w:pPr>
      <w:r w:rsidRPr="078DAB98">
        <w:rPr>
          <w:rFonts w:ascii="Arial" w:hAnsi="Arial" w:eastAsia="Arial" w:cs="Arial"/>
        </w:rPr>
        <w:t>Compliance Lead coordinates COI management and reporting.</w:t>
      </w:r>
    </w:p>
    <w:p w:rsidR="00DB0871" w:rsidP="3797330F" w:rsidRDefault="006704B0" w14:paraId="310D6393" w14:textId="77777777">
      <w:pPr>
        <w:pStyle w:val="Heading1"/>
        <w:rPr>
          <w:rFonts w:ascii="Arial" w:hAnsi="Arial" w:eastAsia="Arial" w:cs="Arial"/>
        </w:rPr>
      </w:pPr>
      <w:r w:rsidRPr="3797330F">
        <w:rPr>
          <w:rFonts w:ascii="Arial" w:hAnsi="Arial" w:eastAsia="Arial" w:cs="Arial"/>
        </w:rPr>
        <w:t>5. Declaration Process</w:t>
      </w:r>
    </w:p>
    <w:p w:rsidR="00DB0871" w:rsidP="3797330F" w:rsidRDefault="006704B0" w14:paraId="69B1DA30" w14:textId="77777777">
      <w:pPr>
        <w:rPr>
          <w:rFonts w:ascii="Arial" w:hAnsi="Arial" w:eastAsia="Arial" w:cs="Arial"/>
        </w:rPr>
      </w:pPr>
      <w:r w:rsidRPr="3797330F">
        <w:rPr>
          <w:rFonts w:ascii="Arial" w:hAnsi="Arial" w:eastAsia="Arial" w:cs="Arial"/>
        </w:rPr>
        <w:t>1. Initial Disclosure: On induction and annually thereafter.</w:t>
      </w:r>
      <w:r>
        <w:br/>
      </w:r>
      <w:r w:rsidRPr="3797330F">
        <w:rPr>
          <w:rFonts w:ascii="Arial" w:hAnsi="Arial" w:eastAsia="Arial" w:cs="Arial"/>
        </w:rPr>
        <w:t>2. Ongoing Declarations: Submitted within 2 working days of arising.</w:t>
      </w:r>
      <w:r>
        <w:br/>
      </w:r>
      <w:r w:rsidRPr="3797330F">
        <w:rPr>
          <w:rFonts w:ascii="Arial" w:hAnsi="Arial" w:eastAsia="Arial" w:cs="Arial"/>
        </w:rPr>
        <w:t>3. Recording: Entered into a secure COI Register reviewed quarterly.</w:t>
      </w:r>
    </w:p>
    <w:p w:rsidR="00DB0871" w:rsidP="3797330F" w:rsidRDefault="006704B0" w14:paraId="670C50D5" w14:textId="77777777">
      <w:pPr>
        <w:pStyle w:val="Heading1"/>
        <w:rPr>
          <w:rFonts w:ascii="Arial" w:hAnsi="Arial" w:eastAsia="Arial" w:cs="Arial"/>
        </w:rPr>
      </w:pPr>
      <w:r w:rsidRPr="3797330F">
        <w:rPr>
          <w:rFonts w:ascii="Arial" w:hAnsi="Arial" w:eastAsia="Arial" w:cs="Arial"/>
        </w:rPr>
        <w:t>6. Managing Conflicts</w:t>
      </w:r>
    </w:p>
    <w:p w:rsidR="00DB0871" w:rsidP="3797330F" w:rsidRDefault="006704B0" w14:paraId="5E85DCB6" w14:textId="77777777">
      <w:pPr>
        <w:rPr>
          <w:rFonts w:ascii="Arial" w:hAnsi="Arial" w:eastAsia="Arial" w:cs="Arial"/>
        </w:rPr>
      </w:pPr>
      <w:r w:rsidRPr="3797330F">
        <w:rPr>
          <w:rFonts w:ascii="Arial" w:hAnsi="Arial" w:eastAsia="Arial" w:cs="Arial"/>
        </w:rPr>
        <w:t>Mitigation may include reassignment, exclusion from decisions, second marking, or role suspension. Actions are logged and referenced.</w:t>
      </w:r>
    </w:p>
    <w:p w:rsidR="00DB0871" w:rsidP="3797330F" w:rsidRDefault="006704B0" w14:paraId="50710A15" w14:textId="77777777">
      <w:pPr>
        <w:pStyle w:val="Heading1"/>
        <w:rPr>
          <w:rFonts w:ascii="Arial" w:hAnsi="Arial" w:eastAsia="Arial" w:cs="Arial"/>
        </w:rPr>
      </w:pPr>
      <w:r w:rsidRPr="3797330F">
        <w:rPr>
          <w:rFonts w:ascii="Arial" w:hAnsi="Arial" w:eastAsia="Arial" w:cs="Arial"/>
        </w:rPr>
        <w:lastRenderedPageBreak/>
        <w:t>7. Reporting to NCFE and Ofqual</w:t>
      </w:r>
    </w:p>
    <w:p w:rsidR="00DB0871" w:rsidP="3797330F" w:rsidRDefault="006704B0" w14:paraId="1B9CAAE9" w14:textId="77777777">
      <w:pPr>
        <w:rPr>
          <w:rFonts w:ascii="Arial" w:hAnsi="Arial" w:eastAsia="Arial" w:cs="Arial"/>
        </w:rPr>
      </w:pPr>
      <w:r w:rsidRPr="3797330F">
        <w:rPr>
          <w:rFonts w:ascii="Arial" w:hAnsi="Arial" w:eastAsia="Arial" w:cs="Arial"/>
        </w:rPr>
        <w:t>Grad2Teach will notify NCFE of conflicts affecting qualification delivery and provide documentary evidence. Records kept for 3 years.</w:t>
      </w:r>
    </w:p>
    <w:p w:rsidR="00DB0871" w:rsidP="3797330F" w:rsidRDefault="006704B0" w14:paraId="645579F8" w14:textId="77777777">
      <w:pPr>
        <w:pStyle w:val="Heading1"/>
        <w:rPr>
          <w:rFonts w:ascii="Arial" w:hAnsi="Arial" w:eastAsia="Arial" w:cs="Arial"/>
        </w:rPr>
      </w:pPr>
      <w:r w:rsidRPr="3797330F">
        <w:rPr>
          <w:rFonts w:ascii="Arial" w:hAnsi="Arial" w:eastAsia="Arial" w:cs="Arial"/>
        </w:rPr>
        <w:t>8. Policy Monitoring and Review</w:t>
      </w:r>
    </w:p>
    <w:p w:rsidR="00DB0871" w:rsidP="3797330F" w:rsidRDefault="5E3D7202" w14:paraId="3E350A51" w14:textId="528CD743">
      <w:pPr>
        <w:rPr>
          <w:rFonts w:ascii="Arial" w:hAnsi="Arial" w:eastAsia="Arial" w:cs="Arial"/>
        </w:rPr>
      </w:pPr>
      <w:r w:rsidRPr="078DAB98">
        <w:rPr>
          <w:rFonts w:ascii="Arial" w:hAnsi="Arial" w:eastAsia="Arial" w:cs="Arial"/>
        </w:rPr>
        <w:t xml:space="preserve">Annual review or after any major incident. </w:t>
      </w:r>
      <w:r w:rsidRPr="078DAB98" w:rsidR="37045918">
        <w:rPr>
          <w:rFonts w:ascii="Arial" w:hAnsi="Arial" w:eastAsia="Arial" w:cs="Arial"/>
        </w:rPr>
        <w:t>Grad2Teach</w:t>
      </w:r>
      <w:r w:rsidRPr="078DAB98" w:rsidR="3C4AE946">
        <w:rPr>
          <w:rFonts w:ascii="Arial" w:hAnsi="Arial" w:eastAsia="Arial" w:cs="Arial"/>
        </w:rPr>
        <w:t xml:space="preserve"> Compliance</w:t>
      </w:r>
      <w:r w:rsidRPr="078DAB98" w:rsidR="68B5BE85">
        <w:rPr>
          <w:rFonts w:ascii="Arial" w:hAnsi="Arial" w:eastAsia="Arial" w:cs="Arial"/>
        </w:rPr>
        <w:t xml:space="preserve"> Lead</w:t>
      </w:r>
      <w:r w:rsidRPr="078DAB98" w:rsidR="3C4AE946">
        <w:rPr>
          <w:rFonts w:ascii="Arial" w:hAnsi="Arial" w:eastAsia="Arial" w:cs="Arial"/>
        </w:rPr>
        <w:t xml:space="preserve"> </w:t>
      </w:r>
      <w:r w:rsidRPr="078DAB98" w:rsidR="060739A3">
        <w:rPr>
          <w:rFonts w:ascii="Arial" w:hAnsi="Arial" w:eastAsia="Arial" w:cs="Arial"/>
        </w:rPr>
        <w:t xml:space="preserve">to </w:t>
      </w:r>
      <w:r w:rsidRPr="078DAB98">
        <w:rPr>
          <w:rFonts w:ascii="Arial" w:hAnsi="Arial" w:eastAsia="Arial" w:cs="Arial"/>
        </w:rPr>
        <w:t>approve updates.</w:t>
      </w:r>
    </w:p>
    <w:p w:rsidR="00DB0871" w:rsidP="3797330F" w:rsidRDefault="006704B0" w14:paraId="13D99C7F" w14:textId="77777777">
      <w:pPr>
        <w:pStyle w:val="Heading1"/>
        <w:rPr>
          <w:rFonts w:ascii="Arial" w:hAnsi="Arial" w:eastAsia="Arial" w:cs="Arial"/>
        </w:rPr>
      </w:pPr>
      <w:r w:rsidRPr="3797330F">
        <w:rPr>
          <w:rFonts w:ascii="Arial" w:hAnsi="Arial" w:eastAsia="Arial" w:cs="Arial"/>
        </w:rPr>
        <w:t>9. Related Policies</w:t>
      </w:r>
    </w:p>
    <w:p w:rsidR="00DB0871" w:rsidP="3797330F" w:rsidRDefault="006704B0" w14:paraId="1E556A2A" w14:textId="77777777">
      <w:pPr>
        <w:rPr>
          <w:rFonts w:ascii="Arial" w:hAnsi="Arial" w:eastAsia="Arial" w:cs="Arial"/>
        </w:rPr>
      </w:pPr>
      <w:r w:rsidRPr="3797330F">
        <w:rPr>
          <w:rFonts w:ascii="Arial" w:hAnsi="Arial" w:eastAsia="Arial" w:cs="Arial"/>
        </w:rPr>
        <w:t>Includes Whistleblowing, Complaints, Appeals, Recruitment and Vetting, and Malpractice Policies.</w:t>
      </w:r>
    </w:p>
    <w:p w:rsidR="00DB0871" w:rsidP="3797330F" w:rsidRDefault="006704B0" w14:paraId="4DD67F4F" w14:textId="77777777">
      <w:pPr>
        <w:pStyle w:val="Heading1"/>
        <w:rPr>
          <w:rFonts w:ascii="Arial" w:hAnsi="Arial" w:eastAsia="Arial" w:cs="Arial"/>
        </w:rPr>
      </w:pPr>
      <w:r w:rsidRPr="3797330F">
        <w:rPr>
          <w:rFonts w:ascii="Arial" w:hAnsi="Arial" w:eastAsia="Arial" w:cs="Arial"/>
        </w:rPr>
        <w:t>Appendices</w:t>
      </w:r>
    </w:p>
    <w:p w:rsidR="00DB0871" w:rsidP="3797330F" w:rsidRDefault="006704B0" w14:paraId="38DEE06D" w14:textId="77777777">
      <w:pPr>
        <w:rPr>
          <w:rFonts w:ascii="Arial" w:hAnsi="Arial" w:eastAsia="Arial" w:cs="Arial"/>
        </w:rPr>
      </w:pPr>
      <w:r w:rsidRPr="3797330F">
        <w:rPr>
          <w:rFonts w:ascii="Arial" w:hAnsi="Arial" w:eastAsia="Arial" w:cs="Arial"/>
        </w:rPr>
        <w:t>Appendix A: COI Declaration Form</w:t>
      </w:r>
      <w:r>
        <w:br/>
      </w:r>
      <w:r w:rsidRPr="3797330F">
        <w:rPr>
          <w:rFonts w:ascii="Arial" w:hAnsi="Arial" w:eastAsia="Arial" w:cs="Arial"/>
        </w:rPr>
        <w:t>Appendix B: COI Register Template</w:t>
      </w:r>
      <w:r>
        <w:br/>
      </w:r>
      <w:r w:rsidRPr="3797330F">
        <w:rPr>
          <w:rFonts w:ascii="Arial" w:hAnsi="Arial" w:eastAsia="Arial" w:cs="Arial"/>
        </w:rPr>
        <w:t>Appendix C: Risk Assessment Template</w:t>
      </w:r>
    </w:p>
    <w:p w:rsidR="008F1424" w:rsidP="3797330F" w:rsidRDefault="008F1424" w14:paraId="19C076F5" w14:textId="77777777">
      <w:pPr>
        <w:rPr>
          <w:rFonts w:ascii="Arial" w:hAnsi="Arial" w:eastAsia="Arial" w:cs="Arial"/>
        </w:rPr>
      </w:pPr>
    </w:p>
    <w:sectPr w:rsidR="008F1424" w:rsidSect="00034616">
      <w:headerReference w:type="default" r:id="rId11"/>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A28" w:rsidP="00184628" w:rsidRDefault="00424A28" w14:paraId="4AF62AFD" w14:textId="77777777">
      <w:pPr>
        <w:spacing w:after="0" w:line="240" w:lineRule="auto"/>
      </w:pPr>
      <w:r>
        <w:separator/>
      </w:r>
    </w:p>
  </w:endnote>
  <w:endnote w:type="continuationSeparator" w:id="0">
    <w:p w:rsidR="00424A28" w:rsidP="00184628" w:rsidRDefault="00424A28" w14:paraId="759B93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A28" w:rsidP="00184628" w:rsidRDefault="00424A28" w14:paraId="1EBA4D0F" w14:textId="77777777">
      <w:pPr>
        <w:spacing w:after="0" w:line="240" w:lineRule="auto"/>
      </w:pPr>
      <w:r>
        <w:separator/>
      </w:r>
    </w:p>
  </w:footnote>
  <w:footnote w:type="continuationSeparator" w:id="0">
    <w:p w:rsidR="00424A28" w:rsidP="00184628" w:rsidRDefault="00424A28" w14:paraId="46506D4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84628" w:rsidRDefault="00184628" w14:paraId="1C10C2FA" w14:textId="60759C65">
    <w:pPr>
      <w:pStyle w:val="Header"/>
    </w:pPr>
    <w:r>
      <w:rPr>
        <w:noProof/>
      </w:rPr>
      <w:drawing>
        <wp:anchor distT="0" distB="0" distL="114300" distR="114300" simplePos="0" relativeHeight="251658240" behindDoc="1" locked="0" layoutInCell="1" allowOverlap="1" wp14:anchorId="4D842EAB" wp14:editId="1B3DBA19">
          <wp:simplePos x="0" y="0"/>
          <wp:positionH relativeFrom="page">
            <wp:posOffset>19050</wp:posOffset>
          </wp:positionH>
          <wp:positionV relativeFrom="paragraph">
            <wp:posOffset>-457200</wp:posOffset>
          </wp:positionV>
          <wp:extent cx="7750810" cy="1842135"/>
          <wp:effectExtent l="0" t="0" r="2540" b="5715"/>
          <wp:wrapTight wrapText="bothSides">
            <wp:wrapPolygon edited="0">
              <wp:start x="0" y="0"/>
              <wp:lineTo x="0" y="21444"/>
              <wp:lineTo x="21554" y="21444"/>
              <wp:lineTo x="21554" y="0"/>
              <wp:lineTo x="0" y="0"/>
            </wp:wrapPolygon>
          </wp:wrapTight>
          <wp:docPr id="1446378210" name="Picture 2"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78210" name="Picture 2" descr="A red and white sign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7750810"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6A4109A2"/>
    <w:multiLevelType w:val="hybridMultilevel"/>
    <w:tmpl w:val="60EE2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FB24F2C"/>
    <w:multiLevelType w:val="hybridMultilevel"/>
    <w:tmpl w:val="23BA0F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96111733">
    <w:abstractNumId w:val="8"/>
  </w:num>
  <w:num w:numId="2" w16cid:durableId="2000113165">
    <w:abstractNumId w:val="6"/>
  </w:num>
  <w:num w:numId="3" w16cid:durableId="635329968">
    <w:abstractNumId w:val="5"/>
  </w:num>
  <w:num w:numId="4" w16cid:durableId="1245609124">
    <w:abstractNumId w:val="4"/>
  </w:num>
  <w:num w:numId="5" w16cid:durableId="793862552">
    <w:abstractNumId w:val="7"/>
  </w:num>
  <w:num w:numId="6" w16cid:durableId="593510815">
    <w:abstractNumId w:val="3"/>
  </w:num>
  <w:num w:numId="7" w16cid:durableId="640310954">
    <w:abstractNumId w:val="2"/>
  </w:num>
  <w:num w:numId="8" w16cid:durableId="1900819300">
    <w:abstractNumId w:val="1"/>
  </w:num>
  <w:num w:numId="9" w16cid:durableId="2140103514">
    <w:abstractNumId w:val="0"/>
  </w:num>
  <w:num w:numId="10" w16cid:durableId="1659769642">
    <w:abstractNumId w:val="9"/>
  </w:num>
  <w:num w:numId="11" w16cid:durableId="48282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4628"/>
    <w:rsid w:val="0026A5AE"/>
    <w:rsid w:val="0029639D"/>
    <w:rsid w:val="002B44B6"/>
    <w:rsid w:val="002F57C5"/>
    <w:rsid w:val="00326F90"/>
    <w:rsid w:val="003660D3"/>
    <w:rsid w:val="003C3AA3"/>
    <w:rsid w:val="003F37B6"/>
    <w:rsid w:val="00424A28"/>
    <w:rsid w:val="00506AFC"/>
    <w:rsid w:val="005B4C30"/>
    <w:rsid w:val="00621588"/>
    <w:rsid w:val="0066233A"/>
    <w:rsid w:val="006704B0"/>
    <w:rsid w:val="007776E5"/>
    <w:rsid w:val="008F1424"/>
    <w:rsid w:val="009912B3"/>
    <w:rsid w:val="009D7D52"/>
    <w:rsid w:val="00AA1D8D"/>
    <w:rsid w:val="00AB485F"/>
    <w:rsid w:val="00B2730D"/>
    <w:rsid w:val="00B47730"/>
    <w:rsid w:val="00CB0664"/>
    <w:rsid w:val="00D47B2E"/>
    <w:rsid w:val="00DB0871"/>
    <w:rsid w:val="00E10A34"/>
    <w:rsid w:val="00F33ACC"/>
    <w:rsid w:val="00FC693F"/>
    <w:rsid w:val="00FC86D8"/>
    <w:rsid w:val="0497F44D"/>
    <w:rsid w:val="060739A3"/>
    <w:rsid w:val="078DAB98"/>
    <w:rsid w:val="09EC7F66"/>
    <w:rsid w:val="0C540B82"/>
    <w:rsid w:val="0DA1499E"/>
    <w:rsid w:val="0E1F7B02"/>
    <w:rsid w:val="12B4CF5D"/>
    <w:rsid w:val="155976BB"/>
    <w:rsid w:val="1F80CAE0"/>
    <w:rsid w:val="1FB44313"/>
    <w:rsid w:val="223B1319"/>
    <w:rsid w:val="26999BF1"/>
    <w:rsid w:val="32B91F36"/>
    <w:rsid w:val="336E55E8"/>
    <w:rsid w:val="37045918"/>
    <w:rsid w:val="3797330F"/>
    <w:rsid w:val="38F9C447"/>
    <w:rsid w:val="3C4AE946"/>
    <w:rsid w:val="41C97028"/>
    <w:rsid w:val="43182B61"/>
    <w:rsid w:val="4492F789"/>
    <w:rsid w:val="48269EEC"/>
    <w:rsid w:val="494AF59C"/>
    <w:rsid w:val="4C0BEDB7"/>
    <w:rsid w:val="4CF02402"/>
    <w:rsid w:val="4F393B1A"/>
    <w:rsid w:val="53BF5821"/>
    <w:rsid w:val="540C6EC0"/>
    <w:rsid w:val="5AF9CAF9"/>
    <w:rsid w:val="5BD8C641"/>
    <w:rsid w:val="5E3D7202"/>
    <w:rsid w:val="60D75135"/>
    <w:rsid w:val="68B5BE85"/>
    <w:rsid w:val="6CB7A621"/>
    <w:rsid w:val="7C4A8649"/>
    <w:rsid w:val="7DA2E8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C3BD4"/>
  <w14:defaultImageDpi w14:val="300"/>
  <w15:docId w15:val="{9882CB58-C0AE-4D81-A392-D722819C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04B0"/>
    <w:rPr>
      <w:b/>
      <w:bCs/>
    </w:rPr>
  </w:style>
  <w:style w:type="character" w:styleId="CommentSubjectChar" w:customStyle="1">
    <w:name w:val="Comment Subject Char"/>
    <w:basedOn w:val="CommentTextChar"/>
    <w:link w:val="CommentSubject"/>
    <w:uiPriority w:val="99"/>
    <w:semiHidden/>
    <w:rsid w:val="006704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aa22f9-cc7b-464c-a307-4f3ca8762b12" xsi:nil="true"/>
    <lcf76f155ced4ddcb4097134ff3c332f xmlns="e5873d33-56ae-40f9-8b97-64a660b0ab54">
      <Terms xmlns="http://schemas.microsoft.com/office/infopath/2007/PartnerControls"/>
    </lcf76f155ced4ddcb4097134ff3c332f>
    <ABnotes xmlns="e5873d33-56ae-40f9-8b97-64a660b0ab54">Not checked</ABnotes>
    <Called xmlns="e5873d33-56ae-40f9-8b97-64a660b0ab54">true</Call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B14B20ECE6144FBD50D036D694871E" ma:contentTypeVersion="20" ma:contentTypeDescription="Create a new document." ma:contentTypeScope="" ma:versionID="9f7603a4084cc55b4dcfac64854be724">
  <xsd:schema xmlns:xsd="http://www.w3.org/2001/XMLSchema" xmlns:xs="http://www.w3.org/2001/XMLSchema" xmlns:p="http://schemas.microsoft.com/office/2006/metadata/properties" xmlns:ns2="e5873d33-56ae-40f9-8b97-64a660b0ab54" xmlns:ns3="b3aa22f9-cc7b-464c-a307-4f3ca8762b12" targetNamespace="http://schemas.microsoft.com/office/2006/metadata/properties" ma:root="true" ma:fieldsID="4648b9eb8a037d3779e821281768118f" ns2:_="" ns3:_="">
    <xsd:import namespace="e5873d33-56ae-40f9-8b97-64a660b0ab54"/>
    <xsd:import namespace="b3aa22f9-cc7b-464c-a307-4f3ca8762b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all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Bnote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3d33-56ae-40f9-8b97-64a660b0a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alled" ma:index="14" nillable="true" ma:displayName="Called " ma:default="1" ma:format="Dropdown" ma:internalName="Called">
      <xsd:simpleType>
        <xsd:restriction base="dms:Boolea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notes" ma:index="21" nillable="true" ma:displayName="AB notes" ma:default="Not checked" ma:description="Alex's notes and/or thoughts" ma:format="Dropdown" ma:internalName="AB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601bce-ad95-483f-b011-c1c54392888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22f9-cc7b-464c-a307-4f3ca8762b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d4f1bdc-5c6f-4193-929c-f8c9f9399563}" ma:internalName="TaxCatchAll" ma:showField="CatchAllData" ma:web="b3aa22f9-cc7b-464c-a307-4f3ca8762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7B791-42CC-40AD-839A-021EB8A29799}">
  <ds:schemaRefs>
    <ds:schemaRef ds:uri="http://schemas.microsoft.com/office/2006/metadata/properties"/>
    <ds:schemaRef ds:uri="http://schemas.microsoft.com/office/infopath/2007/PartnerControls"/>
    <ds:schemaRef ds:uri="65367d0b-6b95-4f86-8389-3282b3846db3"/>
    <ds:schemaRef ds:uri="b3aa22f9-cc7b-464c-a307-4f3ca8762b12"/>
  </ds:schemaRefs>
</ds:datastoreItem>
</file>

<file path=customXml/itemProps2.xml><?xml version="1.0" encoding="utf-8"?>
<ds:datastoreItem xmlns:ds="http://schemas.openxmlformats.org/officeDocument/2006/customXml" ds:itemID="{B867D675-8C49-41AB-AE7F-5C22D02156EE}"/>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675BF789-6F1B-4366-94A0-D26F263431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Alex Braithwaite</lastModifiedBy>
  <revision>13</revision>
  <dcterms:created xsi:type="dcterms:W3CDTF">2025-06-16T17:59:00.0000000Z</dcterms:created>
  <dcterms:modified xsi:type="dcterms:W3CDTF">2026-05-01T09:33:32.5751623Z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0x01010019B14B20ECE6144FBD50D036D694871E</vt:lpwstr>
  </property>
  <property fmtid="{D5CDD505-2E9C-101B-9397-08002B2CF9AE}" pid="3" name="MediaServiceImageTags">
    <vt:lpwstr/>
  </property>
</Properties>
</file>