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1A1D" w:rsidR="00DE3A1A" w:rsidP="00531A1D" w:rsidRDefault="00B8256E" w14:paraId="47CFFF8E" w14:textId="361D40DC">
      <w:pPr>
        <w:pStyle w:val="Heading1"/>
        <w:rPr>
          <w:rFonts w:ascii="Arial" w:hAnsi="Arial" w:cs="Arial"/>
        </w:rPr>
      </w:pPr>
      <w:r w:rsidRPr="0E2629D4">
        <w:rPr>
          <w:rFonts w:ascii="Arial" w:hAnsi="Arial" w:cs="Arial"/>
        </w:rPr>
        <w:t>Standard Operating Procedure (SOP) for Special Considerations and Reasonable Adjustments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220"/>
        <w:gridCol w:w="1830"/>
        <w:gridCol w:w="2175"/>
        <w:gridCol w:w="2505"/>
      </w:tblGrid>
      <w:tr w:rsidR="0E2629D4" w:rsidTr="5B59B988" w14:paraId="65469052" w14:textId="77777777">
        <w:trPr>
          <w:trHeight w:val="300"/>
        </w:trPr>
        <w:tc>
          <w:tcPr>
            <w:tcW w:w="222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0E2629D4" w:rsidRDefault="0E2629D4" w14:paraId="549EA61F" w14:textId="622B3B33">
            <w:pPr>
              <w:spacing w:after="0"/>
              <w:jc w:val="center"/>
              <w:rPr>
                <w:rFonts w:ascii="Arial" w:hAnsi="Arial" w:eastAsia="Arial" w:cs="Arial"/>
              </w:rPr>
            </w:pPr>
            <w:r w:rsidRPr="0E2629D4">
              <w:rPr>
                <w:rFonts w:ascii="Arial" w:hAnsi="Arial" w:eastAsia="Arial" w:cs="Arial"/>
                <w:b/>
                <w:bCs/>
              </w:rPr>
              <w:t>Policy Number</w:t>
            </w:r>
          </w:p>
        </w:tc>
        <w:tc>
          <w:tcPr>
            <w:tcW w:w="18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0E2629D4" w:rsidRDefault="0E2629D4" w14:paraId="2FAE9995" w14:textId="68CE603D">
            <w:pPr>
              <w:spacing w:after="0"/>
              <w:jc w:val="center"/>
              <w:rPr>
                <w:rFonts w:ascii="Arial" w:hAnsi="Arial" w:eastAsia="Arial" w:cs="Arial"/>
              </w:rPr>
            </w:pPr>
            <w:r w:rsidRPr="0E2629D4">
              <w:rPr>
                <w:rFonts w:ascii="Arial" w:hAnsi="Arial" w:eastAsia="Arial" w:cs="Arial"/>
                <w:b/>
                <w:bCs/>
              </w:rPr>
              <w:t>Version</w:t>
            </w:r>
          </w:p>
        </w:tc>
        <w:tc>
          <w:tcPr>
            <w:tcW w:w="217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0E2629D4" w:rsidRDefault="0E2629D4" w14:paraId="7203A9CE" w14:textId="142BF8F5">
            <w:pPr>
              <w:spacing w:after="0"/>
              <w:jc w:val="center"/>
              <w:rPr>
                <w:rFonts w:ascii="Arial" w:hAnsi="Arial" w:eastAsia="Arial" w:cs="Arial"/>
              </w:rPr>
            </w:pPr>
            <w:r w:rsidRPr="0E2629D4">
              <w:rPr>
                <w:rFonts w:ascii="Arial" w:hAnsi="Arial" w:eastAsia="Arial" w:cs="Arial"/>
                <w:b/>
                <w:bCs/>
              </w:rPr>
              <w:t>Issue Date</w:t>
            </w:r>
          </w:p>
        </w:tc>
        <w:tc>
          <w:tcPr>
            <w:tcW w:w="25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0E2629D4" w:rsidRDefault="0E2629D4" w14:paraId="01FB2FFA" w14:textId="0A5A198E">
            <w:pPr>
              <w:spacing w:after="0"/>
              <w:jc w:val="center"/>
              <w:rPr>
                <w:rFonts w:ascii="Arial" w:hAnsi="Arial" w:eastAsia="Arial" w:cs="Arial"/>
              </w:rPr>
            </w:pPr>
            <w:r w:rsidRPr="5B59B988" w:rsidR="0E2629D4">
              <w:rPr>
                <w:rFonts w:ascii="Arial" w:hAnsi="Arial" w:eastAsia="Arial" w:cs="Arial"/>
                <w:b w:val="1"/>
                <w:bCs w:val="1"/>
              </w:rPr>
              <w:t>R</w:t>
            </w:r>
            <w:r w:rsidRPr="5B59B988" w:rsidR="0DBB246F">
              <w:rPr>
                <w:rFonts w:ascii="Arial" w:hAnsi="Arial" w:eastAsia="Arial" w:cs="Arial"/>
                <w:b w:val="1"/>
                <w:bCs w:val="1"/>
              </w:rPr>
              <w:t>e</w:t>
            </w:r>
            <w:r w:rsidRPr="5B59B988" w:rsidR="0E2629D4">
              <w:rPr>
                <w:rFonts w:ascii="Arial" w:hAnsi="Arial" w:eastAsia="Arial" w:cs="Arial"/>
                <w:b w:val="1"/>
                <w:bCs w:val="1"/>
              </w:rPr>
              <w:t>view Date</w:t>
            </w:r>
          </w:p>
        </w:tc>
      </w:tr>
      <w:tr w:rsidR="0E2629D4" w:rsidTr="5B59B988" w14:paraId="1439B91B" w14:textId="77777777">
        <w:trPr>
          <w:trHeight w:val="300"/>
        </w:trPr>
        <w:tc>
          <w:tcPr>
            <w:tcW w:w="222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0E2629D4" w:rsidRDefault="0E2629D4" w14:paraId="711226A2" w14:textId="4F569A5C">
            <w:pPr>
              <w:spacing w:after="0"/>
              <w:rPr>
                <w:rFonts w:ascii="Arial" w:hAnsi="Arial" w:eastAsia="Arial" w:cs="Arial"/>
              </w:rPr>
            </w:pPr>
            <w:r w:rsidRPr="5601026A" w:rsidR="0E2629D4">
              <w:rPr>
                <w:rFonts w:ascii="Arial" w:hAnsi="Arial" w:eastAsia="Arial" w:cs="Arial"/>
              </w:rPr>
              <w:t>G2T-PMO-03.02.</w:t>
            </w:r>
            <w:r w:rsidRPr="5601026A" w:rsidR="5FD65C9E">
              <w:rPr>
                <w:rFonts w:ascii="Arial" w:hAnsi="Arial" w:eastAsia="Arial" w:cs="Arial"/>
              </w:rPr>
              <w:t>60</w:t>
            </w:r>
          </w:p>
        </w:tc>
        <w:tc>
          <w:tcPr>
            <w:tcW w:w="18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0E2629D4" w:rsidRDefault="0E2629D4" w14:paraId="182D8C5F" w14:textId="4C0BC46C">
            <w:pPr>
              <w:spacing w:after="0"/>
              <w:rPr>
                <w:rFonts w:ascii="Arial" w:hAnsi="Arial" w:eastAsia="Arial" w:cs="Arial"/>
              </w:rPr>
            </w:pPr>
            <w:r w:rsidRPr="149793EF" w:rsidR="4B145191">
              <w:rPr>
                <w:rFonts w:ascii="Arial" w:hAnsi="Arial" w:eastAsia="Arial" w:cs="Arial"/>
              </w:rPr>
              <w:t>2.1</w:t>
            </w:r>
          </w:p>
        </w:tc>
        <w:tc>
          <w:tcPr>
            <w:tcW w:w="217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2BABA127" w:rsidRDefault="0E2629D4" w14:paraId="299A3D19" w14:textId="348709D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43B2BCB1" w:rsidR="65358925">
              <w:rPr>
                <w:rFonts w:ascii="Arial" w:hAnsi="Arial" w:eastAsia="Arial" w:cs="Arial"/>
              </w:rPr>
              <w:t>22.04.26</w:t>
            </w:r>
          </w:p>
        </w:tc>
        <w:tc>
          <w:tcPr>
            <w:tcW w:w="250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E2629D4" w:rsidP="5B59B988" w:rsidRDefault="0E2629D4" w14:paraId="3ADF6EBA" w14:textId="3599EDA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5B59B988" w:rsidR="4B145191">
              <w:rPr>
                <w:rFonts w:ascii="Arial" w:hAnsi="Arial" w:eastAsia="Arial" w:cs="Arial"/>
              </w:rPr>
              <w:t>2</w:t>
            </w:r>
            <w:r w:rsidRPr="5B59B988" w:rsidR="01BB6984">
              <w:rPr>
                <w:rFonts w:ascii="Arial" w:hAnsi="Arial" w:eastAsia="Arial" w:cs="Arial"/>
              </w:rPr>
              <w:t>6</w:t>
            </w:r>
            <w:r w:rsidRPr="5B59B988" w:rsidR="4B145191">
              <w:rPr>
                <w:rFonts w:ascii="Arial" w:hAnsi="Arial" w:eastAsia="Arial" w:cs="Arial"/>
              </w:rPr>
              <w:t>.0</w:t>
            </w:r>
            <w:r w:rsidRPr="5B59B988" w:rsidR="089A676C">
              <w:rPr>
                <w:rFonts w:ascii="Arial" w:hAnsi="Arial" w:eastAsia="Arial" w:cs="Arial"/>
              </w:rPr>
              <w:t>8</w:t>
            </w:r>
            <w:r w:rsidRPr="5B59B988" w:rsidR="4B145191">
              <w:rPr>
                <w:rFonts w:ascii="Arial" w:hAnsi="Arial" w:eastAsia="Arial" w:cs="Arial"/>
              </w:rPr>
              <w:t>.2</w:t>
            </w:r>
            <w:r w:rsidRPr="5B59B988" w:rsidR="355E0A5F">
              <w:rPr>
                <w:rFonts w:ascii="Arial" w:hAnsi="Arial" w:eastAsia="Arial" w:cs="Arial"/>
              </w:rPr>
              <w:t>6</w:t>
            </w:r>
          </w:p>
        </w:tc>
      </w:tr>
    </w:tbl>
    <w:p w:rsidRPr="00531A1D" w:rsidR="00531A1D" w:rsidP="5601026A" w:rsidRDefault="7936EE06" w14:paraId="0C2F3CCF" w14:textId="3ED065DD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5B59B988" w:rsidR="7936EE0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Approved By:</w:t>
      </w:r>
      <w:r w:rsidRPr="5B59B988" w:rsidR="7936EE0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B59B988" w:rsidR="02EEC701">
        <w:rPr>
          <w:rFonts w:ascii="Arial" w:hAnsi="Arial" w:eastAsia="Arial" w:cs="Arial"/>
          <w:color w:val="000000" w:themeColor="text1" w:themeTint="FF" w:themeShade="FF"/>
        </w:rPr>
        <w:t>Course Manager</w:t>
      </w:r>
    </w:p>
    <w:p w:rsidRPr="00531A1D" w:rsidR="00531A1D" w:rsidP="5601026A" w:rsidRDefault="7936EE06" w14:paraId="73E81A5A" w14:textId="640875E3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5601026A" w:rsidR="7936EE0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Owner:</w:t>
      </w:r>
      <w:r w:rsidRPr="5601026A" w:rsidR="7936EE0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601026A" w:rsidR="0961DF70">
        <w:rPr>
          <w:rFonts w:ascii="Arial" w:hAnsi="Arial" w:eastAsia="Arial" w:cs="Arial"/>
          <w:color w:val="000000" w:themeColor="text1" w:themeTint="FF" w:themeShade="FF"/>
        </w:rPr>
        <w:t xml:space="preserve">Managing </w:t>
      </w:r>
      <w:r w:rsidRPr="5601026A" w:rsidR="7936EE06">
        <w:rPr>
          <w:rFonts w:ascii="Arial" w:hAnsi="Arial" w:eastAsia="Arial" w:cs="Arial"/>
          <w:color w:val="000000" w:themeColor="text1" w:themeTint="FF" w:themeShade="FF"/>
        </w:rPr>
        <w:t>Director [Compliance Lead]</w:t>
      </w:r>
    </w:p>
    <w:p w:rsidRPr="00531A1D" w:rsidR="00DE3A1A" w:rsidRDefault="00B8256E" w14:paraId="118BBF2F" w14:textId="5BD77674">
      <w:pPr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</w:pPr>
      <w:r w:rsidRPr="00531A1D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Purpose</w:t>
      </w:r>
    </w:p>
    <w:p w:rsidRPr="00531A1D" w:rsidR="00DE3A1A" w:rsidRDefault="00B8256E" w14:paraId="5B9CA2DB" w14:textId="137D0853">
      <w:pPr>
        <w:rPr>
          <w:rFonts w:ascii="Arial" w:hAnsi="Arial" w:cs="Arial"/>
        </w:rPr>
      </w:pPr>
      <w:r w:rsidRPr="00531A1D">
        <w:rPr>
          <w:rFonts w:ascii="Arial" w:hAnsi="Arial" w:cs="Arial"/>
        </w:rPr>
        <w:t xml:space="preserve">To ensure that learners who require special considerations or reasonable adjustments are supported appropriately during assessment activities in line with the Equality Act 2010, NCFE </w:t>
      </w:r>
      <w:proofErr w:type="spellStart"/>
      <w:r w:rsidRPr="00531A1D">
        <w:rPr>
          <w:rFonts w:ascii="Arial" w:hAnsi="Arial" w:cs="Arial"/>
        </w:rPr>
        <w:t>Customised</w:t>
      </w:r>
      <w:proofErr w:type="spellEnd"/>
      <w:r w:rsidRPr="00531A1D">
        <w:rPr>
          <w:rFonts w:ascii="Arial" w:hAnsi="Arial" w:cs="Arial"/>
        </w:rPr>
        <w:t xml:space="preserve"> Qualification Approval Criteria, and Grad2Teach's commitment to fair and accessible assessment.</w:t>
      </w:r>
    </w:p>
    <w:p w:rsidRPr="00531A1D" w:rsidR="00DE3A1A" w:rsidRDefault="00B8256E" w14:paraId="23208E8A" w14:textId="6845AA85">
      <w:pPr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</w:pPr>
      <w:r w:rsidRPr="00531A1D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1. Scope</w:t>
      </w:r>
    </w:p>
    <w:p w:rsidRPr="00531A1D" w:rsidR="00DE3A1A" w:rsidRDefault="00B8256E" w14:paraId="33091BF3" w14:textId="77777777">
      <w:pPr>
        <w:rPr>
          <w:rFonts w:ascii="Arial" w:hAnsi="Arial" w:cs="Arial"/>
        </w:rPr>
      </w:pPr>
      <w:r w:rsidRPr="00531A1D">
        <w:rPr>
          <w:rFonts w:ascii="Arial" w:hAnsi="Arial" w:cs="Arial"/>
        </w:rPr>
        <w:t xml:space="preserve">This SOP applies to all learners enrolled on </w:t>
      </w:r>
      <w:proofErr w:type="spellStart"/>
      <w:r w:rsidRPr="00531A1D">
        <w:rPr>
          <w:rFonts w:ascii="Arial" w:hAnsi="Arial" w:cs="Arial"/>
        </w:rPr>
        <w:t>customised</w:t>
      </w:r>
      <w:proofErr w:type="spellEnd"/>
      <w:r w:rsidRPr="00531A1D">
        <w:rPr>
          <w:rFonts w:ascii="Arial" w:hAnsi="Arial" w:cs="Arial"/>
        </w:rPr>
        <w:t xml:space="preserve"> qualifications delivered by Grad2Teach. It covers:</w:t>
      </w:r>
    </w:p>
    <w:p w:rsidRPr="00531A1D" w:rsidR="00531A1D" w:rsidP="00531A1D" w:rsidRDefault="00B8256E" w14:paraId="2C874B19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Reasonable adjustments (RA): Pre-planned changes to assessment arrangements.</w:t>
      </w:r>
    </w:p>
    <w:p w:rsidRPr="00531A1D" w:rsidR="00DE3A1A" w:rsidP="00531A1D" w:rsidRDefault="00B8256E" w14:paraId="20D155FC" w14:textId="7EBC123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Special considerations (SC): Adjustments applied due to unforeseen circumstances at or near the time of assessment.</w:t>
      </w:r>
    </w:p>
    <w:p w:rsidRPr="00531A1D" w:rsidR="00DE3A1A" w:rsidRDefault="00B8256E" w14:paraId="19DC618B" w14:textId="0B01D70D">
      <w:pPr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</w:pPr>
      <w:r w:rsidRPr="00531A1D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2. Responsibilities</w:t>
      </w:r>
    </w:p>
    <w:p w:rsidRPr="00531A1D" w:rsidR="00531A1D" w:rsidP="00531A1D" w:rsidRDefault="00B8256E" w14:paraId="6D1CD461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31A1D">
        <w:rPr>
          <w:rFonts w:ascii="Arial" w:hAnsi="Arial" w:cs="Arial"/>
          <w:b/>
          <w:bCs/>
        </w:rPr>
        <w:t>Learner/Applicant:</w:t>
      </w:r>
      <w:r w:rsidRPr="00531A1D">
        <w:rPr>
          <w:rFonts w:ascii="Arial" w:hAnsi="Arial" w:cs="Arial"/>
        </w:rPr>
        <w:t xml:space="preserve"> To disclose relevant needs at the point of application or during </w:t>
      </w:r>
      <w:proofErr w:type="spellStart"/>
      <w:r w:rsidRPr="00531A1D">
        <w:rPr>
          <w:rFonts w:ascii="Arial" w:hAnsi="Arial" w:cs="Arial"/>
        </w:rPr>
        <w:t>programme</w:t>
      </w:r>
      <w:proofErr w:type="spellEnd"/>
      <w:r w:rsidRPr="00531A1D">
        <w:rPr>
          <w:rFonts w:ascii="Arial" w:hAnsi="Arial" w:cs="Arial"/>
        </w:rPr>
        <w:t xml:space="preserve"> delivery.</w:t>
      </w:r>
    </w:p>
    <w:p w:rsidRPr="00531A1D" w:rsidR="00531A1D" w:rsidP="00531A1D" w:rsidRDefault="00B8256E" w14:paraId="46A6E8FD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31A1D">
        <w:rPr>
          <w:rFonts w:ascii="Arial" w:hAnsi="Arial" w:cs="Arial"/>
          <w:b/>
          <w:bCs/>
        </w:rPr>
        <w:t>Trainer/Assessor:</w:t>
      </w:r>
      <w:r w:rsidRPr="00531A1D">
        <w:rPr>
          <w:rFonts w:ascii="Arial" w:hAnsi="Arial" w:cs="Arial"/>
        </w:rPr>
        <w:t xml:space="preserve"> To identify learners requiring adjustments and refer them accordingly.</w:t>
      </w:r>
    </w:p>
    <w:p w:rsidRPr="00531A1D" w:rsidR="00531A1D" w:rsidP="00531A1D" w:rsidRDefault="00B8256E" w14:paraId="7DA9EE24" w14:textId="4000807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6E8521C2">
        <w:rPr>
          <w:rFonts w:ascii="Arial" w:hAnsi="Arial" w:cs="Arial"/>
          <w:b/>
          <w:bCs/>
        </w:rPr>
        <w:t xml:space="preserve">Compliance </w:t>
      </w:r>
      <w:r w:rsidRPr="6E8521C2" w:rsidR="7E45B687">
        <w:rPr>
          <w:rFonts w:ascii="Arial" w:hAnsi="Arial" w:cs="Arial"/>
          <w:b/>
          <w:bCs/>
        </w:rPr>
        <w:t>Lead</w:t>
      </w:r>
      <w:r w:rsidRPr="6E8521C2">
        <w:rPr>
          <w:rFonts w:ascii="Arial" w:hAnsi="Arial" w:cs="Arial"/>
          <w:b/>
          <w:bCs/>
        </w:rPr>
        <w:t xml:space="preserve"> or </w:t>
      </w:r>
      <w:r w:rsidRPr="6E8521C2" w:rsidR="59243F4A">
        <w:rPr>
          <w:rFonts w:ascii="Arial" w:hAnsi="Arial" w:cs="Arial"/>
          <w:b/>
          <w:bCs/>
        </w:rPr>
        <w:t>Head of Inclusion</w:t>
      </w:r>
      <w:r w:rsidRPr="6E8521C2">
        <w:rPr>
          <w:rFonts w:ascii="Arial" w:hAnsi="Arial" w:cs="Arial"/>
          <w:b/>
          <w:bCs/>
        </w:rPr>
        <w:t>:</w:t>
      </w:r>
      <w:r w:rsidRPr="6E8521C2">
        <w:rPr>
          <w:rFonts w:ascii="Arial" w:hAnsi="Arial" w:cs="Arial"/>
        </w:rPr>
        <w:t xml:space="preserve"> To review and approve Form VQ/IA submissions.</w:t>
      </w:r>
    </w:p>
    <w:p w:rsidRPr="00531A1D" w:rsidR="00DE3A1A" w:rsidP="00531A1D" w:rsidRDefault="00B8256E" w14:paraId="0A80DCEB" w14:textId="4FB5AC9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31A1D">
        <w:rPr>
          <w:rFonts w:ascii="Arial" w:hAnsi="Arial" w:cs="Arial"/>
          <w:b/>
          <w:bCs/>
        </w:rPr>
        <w:t>Internal Quality Assurer (IQA):</w:t>
      </w:r>
      <w:r w:rsidRPr="00531A1D">
        <w:rPr>
          <w:rFonts w:ascii="Arial" w:hAnsi="Arial" w:cs="Arial"/>
        </w:rPr>
        <w:t xml:space="preserve"> To monitor that agreed adjustments are implemented during assessment.</w:t>
      </w:r>
    </w:p>
    <w:p w:rsidRPr="00531A1D" w:rsidR="00531A1D" w:rsidP="1BCE7E9B" w:rsidRDefault="00B8256E" w14:paraId="5B75B093" w14:textId="790B8B2F">
      <w:pPr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</w:pPr>
      <w:r w:rsidRPr="1BCE7E9B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3. Procedure</w:t>
      </w:r>
    </w:p>
    <w:p w:rsidRPr="00531A1D" w:rsidR="00DE3A1A" w:rsidP="00531A1D" w:rsidRDefault="00B8256E" w14:paraId="3066C4E4" w14:textId="6F5643D8">
      <w:pPr>
        <w:ind w:firstLine="720"/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</w:pPr>
      <w:r w:rsidRPr="00531A1D">
        <w:rPr>
          <w:rFonts w:ascii="Arial" w:hAnsi="Arial" w:cs="Arial"/>
          <w:b/>
          <w:bCs/>
        </w:rPr>
        <w:lastRenderedPageBreak/>
        <w:t>3.1 Identification of Need</w:t>
      </w:r>
    </w:p>
    <w:p w:rsidRPr="00531A1D" w:rsidR="00531A1D" w:rsidP="00531A1D" w:rsidRDefault="00B8256E" w14:paraId="2532221F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During the application process or induction, learners must be asked whether they have any disability, medical condition, or learning need that might impact their assessment performance.</w:t>
      </w:r>
    </w:p>
    <w:p w:rsidRPr="00531A1D" w:rsidR="00DE3A1A" w:rsidP="00531A1D" w:rsidRDefault="00B8256E" w14:paraId="10C98EB6" w14:textId="397452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2BABA127" w:rsidR="00B8256E">
        <w:rPr>
          <w:rFonts w:ascii="Arial" w:hAnsi="Arial" w:cs="Arial"/>
        </w:rPr>
        <w:t xml:space="preserve">Staff should flag potential concerns to the Compliance </w:t>
      </w:r>
      <w:r w:rsidRPr="2BABA127" w:rsidR="48238895">
        <w:rPr>
          <w:rFonts w:ascii="Arial" w:hAnsi="Arial" w:cs="Arial"/>
        </w:rPr>
        <w:t xml:space="preserve">Lead </w:t>
      </w:r>
      <w:r w:rsidRPr="2BABA127" w:rsidR="24B03EE7">
        <w:rPr>
          <w:rFonts w:ascii="Arial" w:hAnsi="Arial" w:cs="Arial"/>
        </w:rPr>
        <w:t>Alex Braithwaite</w:t>
      </w:r>
      <w:r w:rsidRPr="2BABA127" w:rsidR="00B8256E">
        <w:rPr>
          <w:rFonts w:ascii="Arial" w:hAnsi="Arial" w:cs="Arial"/>
        </w:rPr>
        <w:t xml:space="preserve"> or </w:t>
      </w:r>
      <w:r w:rsidRPr="2BABA127" w:rsidR="103C7CFE">
        <w:rPr>
          <w:rFonts w:ascii="Arial" w:hAnsi="Arial" w:cs="Arial"/>
        </w:rPr>
        <w:t xml:space="preserve">Head of </w:t>
      </w:r>
      <w:r w:rsidRPr="2BABA127" w:rsidR="103C7CFE">
        <w:rPr>
          <w:rFonts w:ascii="Arial" w:hAnsi="Arial" w:cs="Arial"/>
        </w:rPr>
        <w:t>Inclusion</w:t>
      </w:r>
      <w:r w:rsidRPr="2BABA127" w:rsidR="1390CA51">
        <w:rPr>
          <w:rFonts w:ascii="Arial" w:hAnsi="Arial" w:cs="Arial"/>
        </w:rPr>
        <w:t>, April Elsmore</w:t>
      </w:r>
      <w:r w:rsidRPr="2BABA127" w:rsidR="00B8256E">
        <w:rPr>
          <w:rFonts w:ascii="Arial" w:hAnsi="Arial" w:cs="Arial"/>
        </w:rPr>
        <w:t>.</w:t>
      </w:r>
    </w:p>
    <w:p w:rsidRPr="00531A1D" w:rsidR="00DE3A1A" w:rsidRDefault="00DE3A1A" w14:paraId="1F74924B" w14:textId="77777777">
      <w:pPr>
        <w:rPr>
          <w:rFonts w:ascii="Arial" w:hAnsi="Arial" w:cs="Arial"/>
        </w:rPr>
      </w:pPr>
    </w:p>
    <w:p w:rsidRPr="00531A1D" w:rsidR="00DE3A1A" w:rsidP="00531A1D" w:rsidRDefault="00B8256E" w14:paraId="561D073C" w14:textId="0CCAB9DC">
      <w:pPr>
        <w:pStyle w:val="ListParagraph"/>
        <w:numPr>
          <w:ilvl w:val="1"/>
          <w:numId w:val="16"/>
        </w:numPr>
        <w:rPr>
          <w:rFonts w:ascii="Arial" w:hAnsi="Arial" w:cs="Arial"/>
          <w:b/>
          <w:bCs/>
        </w:rPr>
      </w:pPr>
      <w:r w:rsidRPr="00531A1D">
        <w:rPr>
          <w:rFonts w:ascii="Arial" w:hAnsi="Arial" w:cs="Arial"/>
          <w:b/>
          <w:bCs/>
        </w:rPr>
        <w:t>Submission of Form VQ/IA</w:t>
      </w:r>
    </w:p>
    <w:p w:rsidRPr="00531A1D" w:rsidR="00531A1D" w:rsidP="00531A1D" w:rsidRDefault="00B8256E" w14:paraId="6EFA1DC5" w14:textId="13F7BFF3">
      <w:pPr>
        <w:pStyle w:val="ListParagraph"/>
        <w:ind w:left="360" w:firstLine="360"/>
        <w:rPr>
          <w:rFonts w:ascii="Arial" w:hAnsi="Arial" w:cs="Arial"/>
        </w:rPr>
      </w:pPr>
      <w:r w:rsidRPr="00531A1D">
        <w:rPr>
          <w:rFonts w:ascii="Arial" w:hAnsi="Arial" w:cs="Arial"/>
        </w:rPr>
        <w:t xml:space="preserve">Learner or staff completes </w:t>
      </w:r>
      <w:r w:rsidRPr="00531A1D">
        <w:rPr>
          <w:rFonts w:ascii="Arial" w:hAnsi="Arial" w:cs="Arial"/>
          <w:b/>
          <w:bCs/>
        </w:rPr>
        <w:t>Form VQ/IA</w:t>
      </w:r>
      <w:r w:rsidRPr="00531A1D">
        <w:rPr>
          <w:rFonts w:ascii="Arial" w:hAnsi="Arial" w:cs="Arial"/>
        </w:rPr>
        <w:t xml:space="preserve"> with relevant details:</w:t>
      </w:r>
    </w:p>
    <w:p w:rsidRPr="00531A1D" w:rsidR="00531A1D" w:rsidP="00531A1D" w:rsidRDefault="00B8256E" w14:paraId="61FA0365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Nature of adjustment requested</w:t>
      </w:r>
    </w:p>
    <w:p w:rsidRPr="00531A1D" w:rsidR="00531A1D" w:rsidP="00531A1D" w:rsidRDefault="00B8256E" w14:paraId="4251ABFC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Supporting evidence (e.g., medical note, EHCP, prior access arrangements)</w:t>
      </w:r>
    </w:p>
    <w:p w:rsidRPr="00531A1D" w:rsidR="00531A1D" w:rsidP="00531A1D" w:rsidRDefault="00B8256E" w14:paraId="0077CC69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Type of assessment(s) affected</w:t>
      </w:r>
    </w:p>
    <w:p w:rsidRPr="00531A1D" w:rsidR="00DE3A1A" w:rsidP="00531A1D" w:rsidRDefault="00B8256E" w14:paraId="7BC67384" w14:textId="0675580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proofErr w:type="gramStart"/>
      <w:r w:rsidRPr="00531A1D">
        <w:rPr>
          <w:rFonts w:ascii="Arial" w:hAnsi="Arial" w:cs="Arial"/>
        </w:rPr>
        <w:t>Form</w:t>
      </w:r>
      <w:proofErr w:type="gramEnd"/>
      <w:r w:rsidRPr="00531A1D">
        <w:rPr>
          <w:rFonts w:ascii="Arial" w:hAnsi="Arial" w:cs="Arial"/>
        </w:rPr>
        <w:t xml:space="preserve"> is submitted at least </w:t>
      </w:r>
      <w:r w:rsidRPr="00531A1D">
        <w:rPr>
          <w:rFonts w:ascii="Arial" w:hAnsi="Arial" w:cs="Arial"/>
          <w:b/>
          <w:bCs/>
        </w:rPr>
        <w:t>10 working days before assessment.</w:t>
      </w:r>
    </w:p>
    <w:p w:rsidRPr="00531A1D" w:rsidR="00DE3A1A" w:rsidRDefault="00DE3A1A" w14:paraId="074A9827" w14:textId="77777777">
      <w:pPr>
        <w:rPr>
          <w:rFonts w:ascii="Arial" w:hAnsi="Arial" w:cs="Arial"/>
        </w:rPr>
      </w:pPr>
    </w:p>
    <w:p w:rsidRPr="00531A1D" w:rsidR="00531A1D" w:rsidP="00531A1D" w:rsidRDefault="00B8256E" w14:paraId="4B9B41DA" w14:textId="77777777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b/>
          <w:bCs/>
        </w:rPr>
      </w:pPr>
      <w:r w:rsidRPr="00531A1D">
        <w:rPr>
          <w:rFonts w:ascii="Arial" w:hAnsi="Arial" w:cs="Arial"/>
          <w:b/>
          <w:bCs/>
        </w:rPr>
        <w:t>Review and Approval</w:t>
      </w:r>
    </w:p>
    <w:p w:rsidRPr="00531A1D" w:rsidR="00531A1D" w:rsidP="00531A1D" w:rsidRDefault="00B8256E" w14:paraId="4AD84AF8" w14:textId="10B00422">
      <w:pPr>
        <w:spacing w:after="0"/>
        <w:ind w:firstLine="720"/>
        <w:rPr>
          <w:rFonts w:ascii="Arial" w:hAnsi="Arial" w:cs="Arial"/>
          <w:b/>
          <w:bCs/>
        </w:rPr>
      </w:pPr>
      <w:r w:rsidRPr="00531A1D">
        <w:rPr>
          <w:rFonts w:ascii="Arial" w:hAnsi="Arial" w:cs="Arial"/>
        </w:rPr>
        <w:t xml:space="preserve">SEN </w:t>
      </w:r>
      <w:proofErr w:type="gramStart"/>
      <w:r w:rsidRPr="00531A1D">
        <w:rPr>
          <w:rFonts w:ascii="Arial" w:hAnsi="Arial" w:cs="Arial"/>
        </w:rPr>
        <w:t>Lead</w:t>
      </w:r>
      <w:proofErr w:type="gramEnd"/>
      <w:r w:rsidRPr="00531A1D">
        <w:rPr>
          <w:rFonts w:ascii="Arial" w:hAnsi="Arial" w:cs="Arial"/>
        </w:rPr>
        <w:t xml:space="preserve"> or Compliance Officer reviews:</w:t>
      </w:r>
    </w:p>
    <w:p w:rsidRPr="00531A1D" w:rsidR="00531A1D" w:rsidP="00531A1D" w:rsidRDefault="00B8256E" w14:paraId="28DF2B12" w14:textId="7777777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Validity of the evidence</w:t>
      </w:r>
    </w:p>
    <w:p w:rsidRPr="00531A1D" w:rsidR="00531A1D" w:rsidP="00531A1D" w:rsidRDefault="00B8256E" w14:paraId="71F991C7" w14:textId="7777777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Proportionality and feasibility of the request</w:t>
      </w:r>
    </w:p>
    <w:p w:rsidRPr="00531A1D" w:rsidR="00531A1D" w:rsidP="00531A1D" w:rsidRDefault="00B8256E" w14:paraId="32DF5C51" w14:textId="7777777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Impact on assessment integrity</w:t>
      </w:r>
    </w:p>
    <w:p w:rsidRPr="00531A1D" w:rsidR="00DE3A1A" w:rsidP="00531A1D" w:rsidRDefault="00B8256E" w14:paraId="3053D8AB" w14:textId="267D602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Outcome is recorded on the form and securely stored.</w:t>
      </w:r>
    </w:p>
    <w:p w:rsidRPr="00531A1D" w:rsidR="00DE3A1A" w:rsidRDefault="00DE3A1A" w14:paraId="1BABF27D" w14:textId="77777777">
      <w:pPr>
        <w:rPr>
          <w:rFonts w:ascii="Arial" w:hAnsi="Arial" w:cs="Arial"/>
        </w:rPr>
      </w:pPr>
    </w:p>
    <w:p w:rsidRPr="00531A1D" w:rsidR="00DE3A1A" w:rsidP="00531A1D" w:rsidRDefault="00B8256E" w14:paraId="2E825B23" w14:textId="0E67C89F">
      <w:pPr>
        <w:spacing w:after="0"/>
        <w:ind w:firstLine="720"/>
        <w:rPr>
          <w:rFonts w:ascii="Arial" w:hAnsi="Arial" w:cs="Arial"/>
          <w:b/>
          <w:bCs/>
        </w:rPr>
      </w:pPr>
      <w:r w:rsidRPr="00531A1D">
        <w:rPr>
          <w:rFonts w:ascii="Arial" w:hAnsi="Arial" w:cs="Arial"/>
          <w:b/>
          <w:bCs/>
        </w:rPr>
        <w:t>3.4 Communication and Implementation</w:t>
      </w:r>
    </w:p>
    <w:p w:rsidRPr="00531A1D" w:rsidR="00DE3A1A" w:rsidP="00531A1D" w:rsidRDefault="00B8256E" w14:paraId="59EF0A41" w14:textId="0C186B59">
      <w:pPr>
        <w:spacing w:after="0"/>
        <w:ind w:firstLine="720"/>
        <w:rPr>
          <w:rFonts w:ascii="Arial" w:hAnsi="Arial" w:cs="Arial"/>
        </w:rPr>
      </w:pPr>
      <w:r w:rsidRPr="00531A1D">
        <w:rPr>
          <w:rFonts w:ascii="Arial" w:hAnsi="Arial" w:cs="Arial"/>
        </w:rPr>
        <w:t>Approved adjustments are communicated to:</w:t>
      </w:r>
    </w:p>
    <w:p w:rsidRPr="00531A1D" w:rsidR="00531A1D" w:rsidP="00531A1D" w:rsidRDefault="00B8256E" w14:paraId="0730D243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Relevant trainer(s)/assessor(s)</w:t>
      </w:r>
    </w:p>
    <w:p w:rsidRPr="00531A1D" w:rsidR="00531A1D" w:rsidP="00531A1D" w:rsidRDefault="00B8256E" w14:paraId="6D1009CD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IQA lead</w:t>
      </w:r>
    </w:p>
    <w:p w:rsidRPr="00531A1D" w:rsidR="00531A1D" w:rsidP="00531A1D" w:rsidRDefault="00B8256E" w14:paraId="3D45424D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Learner (with confirmation of implementation timeline)</w:t>
      </w:r>
    </w:p>
    <w:p w:rsidRPr="00531A1D" w:rsidR="00DE3A1A" w:rsidP="00531A1D" w:rsidRDefault="00B8256E" w14:paraId="2E94CA5A" w14:textId="402A993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Adjustments are applied consistently throughout assessments.</w:t>
      </w:r>
    </w:p>
    <w:p w:rsidRPr="00531A1D" w:rsidR="00DE3A1A" w:rsidRDefault="00DE3A1A" w14:paraId="1D23AB0D" w14:textId="77777777">
      <w:pPr>
        <w:rPr>
          <w:rFonts w:ascii="Arial" w:hAnsi="Arial" w:cs="Arial"/>
        </w:rPr>
      </w:pPr>
    </w:p>
    <w:p w:rsidR="00D551AA" w:rsidP="00531A1D" w:rsidRDefault="00D551AA" w14:paraId="156F28C4" w14:textId="77777777">
      <w:pPr>
        <w:spacing w:after="0"/>
        <w:ind w:firstLine="720"/>
        <w:rPr>
          <w:rFonts w:ascii="Arial" w:hAnsi="Arial" w:cs="Arial"/>
          <w:b/>
          <w:bCs/>
        </w:rPr>
      </w:pPr>
    </w:p>
    <w:p w:rsidRPr="00531A1D" w:rsidR="00DE3A1A" w:rsidP="00531A1D" w:rsidRDefault="00B8256E" w14:paraId="7C65C8B7" w14:textId="3AD8422A">
      <w:pPr>
        <w:spacing w:after="0"/>
        <w:ind w:firstLine="720"/>
        <w:rPr>
          <w:rFonts w:ascii="Arial" w:hAnsi="Arial" w:cs="Arial"/>
          <w:b/>
          <w:bCs/>
        </w:rPr>
      </w:pPr>
      <w:r w:rsidRPr="00531A1D">
        <w:rPr>
          <w:rFonts w:ascii="Arial" w:hAnsi="Arial" w:cs="Arial"/>
          <w:b/>
          <w:bCs/>
        </w:rPr>
        <w:t>3.5 Special Considerations</w:t>
      </w:r>
    </w:p>
    <w:p w:rsidRPr="00531A1D" w:rsidR="00DE3A1A" w:rsidP="00D551AA" w:rsidRDefault="00B8256E" w14:paraId="67D2211E" w14:textId="5B5E1A8D">
      <w:pPr>
        <w:spacing w:after="0"/>
        <w:ind w:left="720"/>
        <w:rPr>
          <w:rFonts w:ascii="Arial" w:hAnsi="Arial" w:cs="Arial"/>
        </w:rPr>
      </w:pPr>
      <w:r w:rsidRPr="00531A1D">
        <w:rPr>
          <w:rFonts w:ascii="Arial" w:hAnsi="Arial" w:cs="Arial"/>
        </w:rPr>
        <w:lastRenderedPageBreak/>
        <w:t>In case of temporary illness, injury, or personal issues near the time of assessment:</w:t>
      </w:r>
    </w:p>
    <w:p w:rsidRPr="00531A1D" w:rsidR="00531A1D" w:rsidP="00531A1D" w:rsidRDefault="00B8256E" w14:paraId="0FE5DDE5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gramStart"/>
      <w:r w:rsidRPr="00531A1D">
        <w:rPr>
          <w:rFonts w:ascii="Arial" w:hAnsi="Arial" w:cs="Arial"/>
        </w:rPr>
        <w:t>Learner</w:t>
      </w:r>
      <w:proofErr w:type="gramEnd"/>
      <w:r w:rsidRPr="00531A1D">
        <w:rPr>
          <w:rFonts w:ascii="Arial" w:hAnsi="Arial" w:cs="Arial"/>
        </w:rPr>
        <w:t xml:space="preserve"> or staff must notify Grad2Teach within 5 working days of the affected assessment.</w:t>
      </w:r>
    </w:p>
    <w:p w:rsidRPr="00531A1D" w:rsidR="00531A1D" w:rsidP="00531A1D" w:rsidRDefault="00B8256E" w14:paraId="33517F15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gramStart"/>
      <w:r w:rsidRPr="00531A1D">
        <w:rPr>
          <w:rFonts w:ascii="Arial" w:hAnsi="Arial" w:cs="Arial"/>
        </w:rPr>
        <w:t>Form</w:t>
      </w:r>
      <w:proofErr w:type="gramEnd"/>
      <w:r w:rsidRPr="00531A1D">
        <w:rPr>
          <w:rFonts w:ascii="Arial" w:hAnsi="Arial" w:cs="Arial"/>
        </w:rPr>
        <w:t xml:space="preserve"> VQ/IA must be submitted, marked as "Special Consideration Request."</w:t>
      </w:r>
    </w:p>
    <w:p w:rsidRPr="00531A1D" w:rsidR="00531A1D" w:rsidP="00531A1D" w:rsidRDefault="00B8256E" w14:paraId="0A8C162A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Evidence (e.g., doctor’s note, bereavement documentation) must accompany the form.</w:t>
      </w:r>
    </w:p>
    <w:p w:rsidRPr="00531A1D" w:rsidR="00DE3A1A" w:rsidP="00531A1D" w:rsidRDefault="00B8256E" w14:paraId="2CD0F067" w14:textId="245FCEC5">
      <w:pPr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</w:pPr>
      <w:r w:rsidRPr="00531A1D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4. Monitoring and Review</w:t>
      </w:r>
    </w:p>
    <w:p w:rsidRPr="00531A1D" w:rsidR="00531A1D" w:rsidP="00531A1D" w:rsidRDefault="00B8256E" w14:paraId="0F6A4F03" w14:textId="77777777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IQA must verify implementation during sampling and audits.</w:t>
      </w:r>
    </w:p>
    <w:p w:rsidRPr="00531A1D" w:rsidR="00531A1D" w:rsidP="00531A1D" w:rsidRDefault="00B8256E" w14:paraId="2A961B2C" w14:textId="743C47C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 xml:space="preserve">Records are retained for </w:t>
      </w:r>
      <w:r w:rsidRPr="00D551AA">
        <w:rPr>
          <w:rFonts w:ascii="Arial" w:hAnsi="Arial" w:cs="Arial"/>
          <w:b/>
          <w:bCs/>
        </w:rPr>
        <w:t>3 years</w:t>
      </w:r>
      <w:r w:rsidRPr="00531A1D">
        <w:rPr>
          <w:rFonts w:ascii="Arial" w:hAnsi="Arial" w:cs="Arial"/>
        </w:rPr>
        <w:t xml:space="preserve"> in line with GDPR.</w:t>
      </w:r>
    </w:p>
    <w:p w:rsidRPr="00531A1D" w:rsidR="00DE3A1A" w:rsidP="00531A1D" w:rsidRDefault="00B8256E" w14:paraId="5BF5FB90" w14:textId="609761F7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 xml:space="preserve">The process is reviewed annually as part of </w:t>
      </w:r>
      <w:proofErr w:type="gramStart"/>
      <w:r w:rsidRPr="00531A1D">
        <w:rPr>
          <w:rFonts w:ascii="Arial" w:hAnsi="Arial" w:cs="Arial"/>
        </w:rPr>
        <w:t>internal</w:t>
      </w:r>
      <w:proofErr w:type="gramEnd"/>
      <w:r w:rsidRPr="00531A1D">
        <w:rPr>
          <w:rFonts w:ascii="Arial" w:hAnsi="Arial" w:cs="Arial"/>
        </w:rPr>
        <w:t xml:space="preserve"> quality assurance strategy.</w:t>
      </w:r>
    </w:p>
    <w:p w:rsidRPr="00531A1D" w:rsidR="00DE3A1A" w:rsidRDefault="00B8256E" w14:paraId="06C0B402" w14:textId="42D6CC34">
      <w:pPr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</w:pPr>
      <w:r w:rsidRPr="00531A1D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5. Related Documents</w:t>
      </w:r>
    </w:p>
    <w:p w:rsidRPr="00531A1D" w:rsidR="00531A1D" w:rsidP="00531A1D" w:rsidRDefault="00B8256E" w14:paraId="44D25AFE" w14:textId="777777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Form VQ/IA – Special Considerations and Reasonable Adjustments</w:t>
      </w:r>
    </w:p>
    <w:p w:rsidRPr="00531A1D" w:rsidR="00531A1D" w:rsidP="00531A1D" w:rsidRDefault="00B8256E" w14:paraId="57230B53" w14:textId="777777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Equality, Diversity &amp; Inclusion Policy</w:t>
      </w:r>
    </w:p>
    <w:p w:rsidRPr="00531A1D" w:rsidR="00531A1D" w:rsidP="00531A1D" w:rsidRDefault="00B8256E" w14:paraId="15860E22" w14:textId="777777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Assessment Policy</w:t>
      </w:r>
    </w:p>
    <w:p w:rsidRPr="00531A1D" w:rsidR="00531A1D" w:rsidP="00531A1D" w:rsidRDefault="00B8256E" w14:paraId="4BD30F7F" w14:textId="777777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Data Protection and GDPR Policy</w:t>
      </w:r>
    </w:p>
    <w:p w:rsidRPr="00531A1D" w:rsidR="00DE3A1A" w:rsidP="00531A1D" w:rsidRDefault="00B8256E" w14:paraId="0A6DCC94" w14:textId="64CA9C1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1A1D">
        <w:rPr>
          <w:rFonts w:ascii="Arial" w:hAnsi="Arial" w:cs="Arial"/>
        </w:rPr>
        <w:t>Internal Quality Assurance Strategy</w:t>
      </w:r>
    </w:p>
    <w:p w:rsidRPr="00531A1D" w:rsidR="00DE3A1A" w:rsidRDefault="00DE3A1A" w14:paraId="72DF6D7D" w14:textId="77777777">
      <w:pPr>
        <w:rPr>
          <w:rFonts w:ascii="Arial" w:hAnsi="Arial" w:cs="Arial"/>
        </w:rPr>
      </w:pPr>
    </w:p>
    <w:sectPr w:rsidRPr="00531A1D" w:rsidR="00DE3A1A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A14" w:rsidP="00531A1D" w:rsidRDefault="00A40A14" w14:paraId="26CC49BD" w14:textId="77777777">
      <w:pPr>
        <w:spacing w:after="0" w:line="240" w:lineRule="auto"/>
      </w:pPr>
      <w:r>
        <w:separator/>
      </w:r>
    </w:p>
  </w:endnote>
  <w:endnote w:type="continuationSeparator" w:id="0">
    <w:p w:rsidR="00A40A14" w:rsidP="00531A1D" w:rsidRDefault="00A40A14" w14:paraId="4FEDE6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E" w:rsidRDefault="00B8256E" w14:paraId="3C3B55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E" w:rsidRDefault="00B8256E" w14:paraId="43F495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E" w:rsidRDefault="00B8256E" w14:paraId="479BD2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A14" w:rsidP="00531A1D" w:rsidRDefault="00A40A14" w14:paraId="55008B00" w14:textId="77777777">
      <w:pPr>
        <w:spacing w:after="0" w:line="240" w:lineRule="auto"/>
      </w:pPr>
      <w:r>
        <w:separator/>
      </w:r>
    </w:p>
  </w:footnote>
  <w:footnote w:type="continuationSeparator" w:id="0">
    <w:p w:rsidR="00A40A14" w:rsidP="00531A1D" w:rsidRDefault="00A40A14" w14:paraId="30A6DB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E" w:rsidRDefault="00B8256E" w14:paraId="01DF44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31A1D" w:rsidR="00531A1D" w:rsidP="00531A1D" w:rsidRDefault="00531A1D" w14:paraId="074162B3" w14:textId="0B85F4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8E1DD7" wp14:editId="6D9D212E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1130" cy="1914525"/>
          <wp:effectExtent l="0" t="0" r="1270" b="9525"/>
          <wp:wrapTight wrapText="bothSides">
            <wp:wrapPolygon edited="0">
              <wp:start x="0" y="0"/>
              <wp:lineTo x="0" y="21493"/>
              <wp:lineTo x="21551" y="21493"/>
              <wp:lineTo x="21551" y="0"/>
              <wp:lineTo x="0" y="0"/>
            </wp:wrapPolygon>
          </wp:wrapTight>
          <wp:docPr id="110076917" name="Picture 1" descr="A red and white sign with white text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white sign with white text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E" w:rsidRDefault="00B8256E" w14:paraId="689162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A306510"/>
    <w:multiLevelType w:val="hybridMultilevel"/>
    <w:tmpl w:val="A49A30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68663E"/>
    <w:multiLevelType w:val="hybridMultilevel"/>
    <w:tmpl w:val="33A48B5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20A20EF0"/>
    <w:multiLevelType w:val="hybridMultilevel"/>
    <w:tmpl w:val="9B30192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32232B8A"/>
    <w:multiLevelType w:val="hybridMultilevel"/>
    <w:tmpl w:val="00BC843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3B1B4CEE"/>
    <w:multiLevelType w:val="multilevel"/>
    <w:tmpl w:val="27AC4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54C1AB0"/>
    <w:multiLevelType w:val="hybridMultilevel"/>
    <w:tmpl w:val="3120EC6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56703F40"/>
    <w:multiLevelType w:val="hybridMultilevel"/>
    <w:tmpl w:val="875E87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671EF2"/>
    <w:multiLevelType w:val="hybridMultilevel"/>
    <w:tmpl w:val="D0249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B06448"/>
    <w:multiLevelType w:val="hybridMultilevel"/>
    <w:tmpl w:val="F98AD8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257726"/>
    <w:multiLevelType w:val="multilevel"/>
    <w:tmpl w:val="6BCCF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E1C501C"/>
    <w:multiLevelType w:val="hybridMultilevel"/>
    <w:tmpl w:val="19702EC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7F762909"/>
    <w:multiLevelType w:val="hybridMultilevel"/>
    <w:tmpl w:val="DDF49B6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822841645">
    <w:abstractNumId w:val="8"/>
  </w:num>
  <w:num w:numId="2" w16cid:durableId="1985499269">
    <w:abstractNumId w:val="6"/>
  </w:num>
  <w:num w:numId="3" w16cid:durableId="961420544">
    <w:abstractNumId w:val="5"/>
  </w:num>
  <w:num w:numId="4" w16cid:durableId="865678823">
    <w:abstractNumId w:val="4"/>
  </w:num>
  <w:num w:numId="5" w16cid:durableId="1899127389">
    <w:abstractNumId w:val="7"/>
  </w:num>
  <w:num w:numId="6" w16cid:durableId="1236740025">
    <w:abstractNumId w:val="3"/>
  </w:num>
  <w:num w:numId="7" w16cid:durableId="1259755864">
    <w:abstractNumId w:val="2"/>
  </w:num>
  <w:num w:numId="8" w16cid:durableId="1585457054">
    <w:abstractNumId w:val="1"/>
  </w:num>
  <w:num w:numId="9" w16cid:durableId="1648390754">
    <w:abstractNumId w:val="0"/>
  </w:num>
  <w:num w:numId="10" w16cid:durableId="1936864449">
    <w:abstractNumId w:val="9"/>
  </w:num>
  <w:num w:numId="11" w16cid:durableId="2079554697">
    <w:abstractNumId w:val="17"/>
  </w:num>
  <w:num w:numId="12" w16cid:durableId="867303584">
    <w:abstractNumId w:val="10"/>
  </w:num>
  <w:num w:numId="13" w16cid:durableId="892928593">
    <w:abstractNumId w:val="19"/>
  </w:num>
  <w:num w:numId="14" w16cid:durableId="391083330">
    <w:abstractNumId w:val="12"/>
  </w:num>
  <w:num w:numId="15" w16cid:durableId="1956057125">
    <w:abstractNumId w:val="13"/>
  </w:num>
  <w:num w:numId="16" w16cid:durableId="1562251784">
    <w:abstractNumId w:val="18"/>
  </w:num>
  <w:num w:numId="17" w16cid:durableId="1548838568">
    <w:abstractNumId w:val="20"/>
  </w:num>
  <w:num w:numId="18" w16cid:durableId="749274025">
    <w:abstractNumId w:val="11"/>
  </w:num>
  <w:num w:numId="19" w16cid:durableId="726151112">
    <w:abstractNumId w:val="14"/>
  </w:num>
  <w:num w:numId="20" w16cid:durableId="2044788891">
    <w:abstractNumId w:val="16"/>
  </w:num>
  <w:num w:numId="21" w16cid:durableId="1607468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3425"/>
    <w:rsid w:val="00413BAA"/>
    <w:rsid w:val="00531A1D"/>
    <w:rsid w:val="00A40A14"/>
    <w:rsid w:val="00AA1D8D"/>
    <w:rsid w:val="00B47730"/>
    <w:rsid w:val="00B8256E"/>
    <w:rsid w:val="00C6479E"/>
    <w:rsid w:val="00CB0664"/>
    <w:rsid w:val="00D551AA"/>
    <w:rsid w:val="00DE3A1A"/>
    <w:rsid w:val="00FC693F"/>
    <w:rsid w:val="01BB6984"/>
    <w:rsid w:val="02EEC701"/>
    <w:rsid w:val="0523FAFF"/>
    <w:rsid w:val="089A676C"/>
    <w:rsid w:val="09322E93"/>
    <w:rsid w:val="0961DF70"/>
    <w:rsid w:val="099B1605"/>
    <w:rsid w:val="0DBB246F"/>
    <w:rsid w:val="0E2629D4"/>
    <w:rsid w:val="103C7CFE"/>
    <w:rsid w:val="1390CA51"/>
    <w:rsid w:val="149793EF"/>
    <w:rsid w:val="167965A9"/>
    <w:rsid w:val="1AB722C1"/>
    <w:rsid w:val="1BCE7E9B"/>
    <w:rsid w:val="24B03EE7"/>
    <w:rsid w:val="2BABA127"/>
    <w:rsid w:val="3279B518"/>
    <w:rsid w:val="355E0A5F"/>
    <w:rsid w:val="3F6F62CE"/>
    <w:rsid w:val="43B2BCB1"/>
    <w:rsid w:val="48238895"/>
    <w:rsid w:val="4B145191"/>
    <w:rsid w:val="5601026A"/>
    <w:rsid w:val="59243F4A"/>
    <w:rsid w:val="5AAD5FAA"/>
    <w:rsid w:val="5B59B988"/>
    <w:rsid w:val="5F7453D3"/>
    <w:rsid w:val="5FD65C9E"/>
    <w:rsid w:val="65358925"/>
    <w:rsid w:val="66DC8FF0"/>
    <w:rsid w:val="6877CCF5"/>
    <w:rsid w:val="6DAEB973"/>
    <w:rsid w:val="6E8521C2"/>
    <w:rsid w:val="7936EE06"/>
    <w:rsid w:val="7E45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229F8"/>
  <w14:defaultImageDpi w14:val="300"/>
  <w15:docId w15:val="{2B368FDE-4298-437A-B366-27AA140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319F8-D0B0-42FE-8103-B894DC619047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customXml/itemProps2.xml><?xml version="1.0" encoding="utf-8"?>
<ds:datastoreItem xmlns:ds="http://schemas.openxmlformats.org/officeDocument/2006/customXml" ds:itemID="{8B75F5E4-DB74-4A48-84A1-F3A7130AE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06DC2-A11D-4CB4-B6BD-9AA360ECAF11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Braithwaite</lastModifiedBy>
  <revision>8</revision>
  <dcterms:created xsi:type="dcterms:W3CDTF">2025-07-23T06:59:00.0000000Z</dcterms:created>
  <dcterms:modified xsi:type="dcterms:W3CDTF">2026-05-01T09:32:02.0449994Z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